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56D22" w14:textId="04FBB850" w:rsidR="00E14253" w:rsidRPr="003060FB" w:rsidRDefault="00E14253" w:rsidP="00E14253">
      <w:pPr>
        <w:pStyle w:val="3GPPHeader"/>
        <w:spacing w:after="60"/>
        <w:rPr>
          <w:rFonts w:cs="Arial"/>
          <w:sz w:val="32"/>
          <w:szCs w:val="32"/>
          <w:highlight w:val="yellow"/>
        </w:rPr>
      </w:pPr>
      <w:r w:rsidRPr="003060FB">
        <w:rPr>
          <w:rFonts w:cs="Arial"/>
        </w:rPr>
        <w:t>3GPP TSG-RAN WG2 #98</w:t>
      </w:r>
      <w:r w:rsidRPr="003060FB">
        <w:rPr>
          <w:rFonts w:cs="Arial"/>
        </w:rPr>
        <w:tab/>
      </w:r>
      <w:r w:rsidRPr="003060FB">
        <w:rPr>
          <w:rFonts w:cs="Arial"/>
          <w:sz w:val="32"/>
          <w:szCs w:val="32"/>
        </w:rPr>
        <w:t>Tdoc R2-</w:t>
      </w:r>
      <w:r w:rsidRPr="0033427D">
        <w:rPr>
          <w:rFonts w:cs="Arial"/>
          <w:sz w:val="32"/>
          <w:szCs w:val="32"/>
        </w:rPr>
        <w:t>17</w:t>
      </w:r>
      <w:r w:rsidR="005A4E63" w:rsidRPr="0033427D">
        <w:rPr>
          <w:rFonts w:cs="Arial"/>
          <w:sz w:val="32"/>
          <w:szCs w:val="32"/>
        </w:rPr>
        <w:t>04407</w:t>
      </w:r>
    </w:p>
    <w:p w14:paraId="0A485D7D" w14:textId="77777777" w:rsidR="00E14253" w:rsidRPr="003060FB" w:rsidRDefault="00E14253" w:rsidP="00E14253">
      <w:pPr>
        <w:pStyle w:val="3GPPHeader"/>
        <w:rPr>
          <w:rFonts w:cs="Arial"/>
          <w:lang w:val="en-US"/>
        </w:rPr>
      </w:pPr>
      <w:r w:rsidRPr="003060FB">
        <w:rPr>
          <w:rFonts w:cs="Arial"/>
          <w:lang w:val="en-US"/>
        </w:rPr>
        <w:t>Hangz</w:t>
      </w:r>
      <w:r>
        <w:rPr>
          <w:rFonts w:cs="Arial"/>
          <w:lang w:val="en-US"/>
        </w:rPr>
        <w:t>h</w:t>
      </w:r>
      <w:r w:rsidRPr="003060FB">
        <w:rPr>
          <w:rFonts w:cs="Arial"/>
          <w:lang w:val="en-US"/>
        </w:rPr>
        <w:t>ou, P.R. of China, 15</w:t>
      </w:r>
      <w:r w:rsidRPr="003060FB">
        <w:rPr>
          <w:rFonts w:cs="Arial"/>
          <w:vertAlign w:val="superscript"/>
          <w:lang w:val="en-US"/>
        </w:rPr>
        <w:t>th</w:t>
      </w:r>
      <w:r w:rsidRPr="003060FB">
        <w:rPr>
          <w:rFonts w:cs="Arial"/>
          <w:lang w:val="en-US"/>
        </w:rPr>
        <w:t xml:space="preserve"> – 19</w:t>
      </w:r>
      <w:r w:rsidRPr="003060FB">
        <w:rPr>
          <w:rFonts w:cs="Arial"/>
          <w:vertAlign w:val="superscript"/>
          <w:lang w:val="en-US"/>
        </w:rPr>
        <w:t>th</w:t>
      </w:r>
      <w:r w:rsidRPr="003060FB">
        <w:rPr>
          <w:rFonts w:cs="Arial"/>
          <w:lang w:val="en-US"/>
        </w:rPr>
        <w:t xml:space="preserve"> May 2017</w:t>
      </w:r>
    </w:p>
    <w:p w14:paraId="0D88AD3F" w14:textId="77777777" w:rsidR="0033427D" w:rsidRDefault="0033427D" w:rsidP="00311702">
      <w:pPr>
        <w:pStyle w:val="3GPPHeader"/>
        <w:rPr>
          <w:sz w:val="22"/>
          <w:szCs w:val="22"/>
          <w:lang w:val="en-US"/>
        </w:rPr>
      </w:pPr>
    </w:p>
    <w:p w14:paraId="4A4F422A" w14:textId="06A1F034" w:rsidR="00E90E49" w:rsidRPr="00E63F9C" w:rsidRDefault="00E90E49" w:rsidP="00311702">
      <w:pPr>
        <w:pStyle w:val="3GPPHeader"/>
        <w:rPr>
          <w:sz w:val="22"/>
          <w:szCs w:val="22"/>
          <w:lang w:val="en-US"/>
        </w:rPr>
      </w:pPr>
      <w:r w:rsidRPr="00E63F9C">
        <w:rPr>
          <w:sz w:val="22"/>
          <w:szCs w:val="22"/>
          <w:lang w:val="en-US"/>
        </w:rPr>
        <w:t>Agenda Item:</w:t>
      </w:r>
      <w:r w:rsidRPr="00E63F9C">
        <w:rPr>
          <w:sz w:val="22"/>
          <w:szCs w:val="22"/>
          <w:lang w:val="en-US"/>
        </w:rPr>
        <w:tab/>
      </w:r>
      <w:r w:rsidR="000021AA">
        <w:rPr>
          <w:sz w:val="22"/>
          <w:szCs w:val="22"/>
          <w:lang w:val="en-US"/>
        </w:rPr>
        <w:t>10.3.1.</w:t>
      </w:r>
      <w:r w:rsidR="00E14253">
        <w:rPr>
          <w:sz w:val="22"/>
          <w:szCs w:val="22"/>
          <w:lang w:val="en-US"/>
        </w:rPr>
        <w:t>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3FDC4D" w:rsidR="00E90E49" w:rsidRPr="00CE0424" w:rsidRDefault="003D3C45" w:rsidP="00311702">
      <w:pPr>
        <w:pStyle w:val="3GPPHeader"/>
        <w:rPr>
          <w:sz w:val="22"/>
          <w:szCs w:val="22"/>
        </w:rPr>
      </w:pPr>
      <w:r>
        <w:rPr>
          <w:sz w:val="22"/>
          <w:szCs w:val="22"/>
        </w:rPr>
        <w:t>Title:</w:t>
      </w:r>
      <w:r w:rsidR="00E90E49" w:rsidRPr="00CE0424">
        <w:rPr>
          <w:sz w:val="22"/>
          <w:szCs w:val="22"/>
        </w:rPr>
        <w:tab/>
      </w:r>
      <w:r w:rsidR="004F7FF9">
        <w:rPr>
          <w:sz w:val="22"/>
          <w:szCs w:val="22"/>
        </w:rPr>
        <w:t xml:space="preserve">HARQ Feedback Transmission Schemes for NR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63F9C">
        <w:rPr>
          <w:sz w:val="22"/>
          <w:szCs w:val="22"/>
        </w:rPr>
        <w:t>Discussion, Decision</w:t>
      </w:r>
    </w:p>
    <w:p w14:paraId="65935703" w14:textId="77777777" w:rsidR="00E90E49" w:rsidRPr="00CE0424" w:rsidRDefault="00E90E49" w:rsidP="00E90E49"/>
    <w:p w14:paraId="607E06CC" w14:textId="3F82955E" w:rsidR="00E90E49" w:rsidRDefault="00E90E49" w:rsidP="00CE0424">
      <w:pPr>
        <w:pStyle w:val="Heading1"/>
      </w:pPr>
      <w:bookmarkStart w:id="0" w:name="_Ref469495640"/>
      <w:bookmarkStart w:id="1" w:name="_Ref477790965"/>
      <w:r w:rsidRPr="00CE0424">
        <w:t>Introduction</w:t>
      </w:r>
      <w:bookmarkEnd w:id="0"/>
      <w:bookmarkEnd w:id="1"/>
    </w:p>
    <w:p w14:paraId="5F355AF3" w14:textId="65F52B51" w:rsidR="005A5092" w:rsidRDefault="00A91036" w:rsidP="009D2531">
      <w:pPr>
        <w:pStyle w:val="BodyText"/>
        <w:rPr>
          <w:lang w:eastAsia="ja-JP"/>
        </w:rPr>
      </w:pPr>
      <w:bookmarkStart w:id="2" w:name="_Toc476230893"/>
      <w:bookmarkEnd w:id="2"/>
      <w:r>
        <w:rPr>
          <w:lang w:eastAsia="ja-JP"/>
        </w:rPr>
        <w:t>Compared to LTE, NR supports more flexible scheduling and HARQ configurations</w:t>
      </w:r>
      <w:r w:rsidR="004D02F4">
        <w:rPr>
          <w:lang w:eastAsia="ja-JP"/>
        </w:rPr>
        <w:t>, which result in the HARQ feedback flexibility in multiple aspects in NR</w:t>
      </w:r>
      <w:r>
        <w:rPr>
          <w:lang w:eastAsia="ja-JP"/>
        </w:rPr>
        <w:t>. This paper</w:t>
      </w:r>
      <w:r w:rsidR="004D02F4">
        <w:rPr>
          <w:lang w:eastAsia="ja-JP"/>
        </w:rPr>
        <w:t>, which</w:t>
      </w:r>
      <w:r>
        <w:rPr>
          <w:lang w:eastAsia="ja-JP"/>
        </w:rPr>
        <w:t xml:space="preserve"> is updated from </w:t>
      </w:r>
      <w:r w:rsidR="005A5092">
        <w:rPr>
          <w:lang w:eastAsia="ja-JP"/>
        </w:rPr>
        <w:fldChar w:fldCharType="begin"/>
      </w:r>
      <w:r w:rsidR="005A5092">
        <w:rPr>
          <w:lang w:eastAsia="ja-JP"/>
        </w:rPr>
        <w:instrText xml:space="preserve"> REF _Ref477784733 \r \h </w:instrText>
      </w:r>
      <w:r w:rsidR="005A5092">
        <w:rPr>
          <w:lang w:eastAsia="ja-JP"/>
        </w:rPr>
      </w:r>
      <w:r w:rsidR="005A5092">
        <w:rPr>
          <w:lang w:eastAsia="ja-JP"/>
        </w:rPr>
        <w:fldChar w:fldCharType="separate"/>
      </w:r>
      <w:r w:rsidR="00E622B1">
        <w:rPr>
          <w:lang w:eastAsia="ja-JP"/>
        </w:rPr>
        <w:t>[1]</w:t>
      </w:r>
      <w:r w:rsidR="005A5092">
        <w:rPr>
          <w:lang w:eastAsia="ja-JP"/>
        </w:rPr>
        <w:fldChar w:fldCharType="end"/>
      </w:r>
      <w:r w:rsidR="005A5092">
        <w:rPr>
          <w:lang w:eastAsia="ja-JP"/>
        </w:rPr>
        <w:t>, will</w:t>
      </w:r>
      <w:r>
        <w:rPr>
          <w:lang w:eastAsia="ja-JP"/>
        </w:rPr>
        <w:t xml:space="preserve"> discuss the HARQ feedback transmission schemes.</w:t>
      </w:r>
    </w:p>
    <w:p w14:paraId="73E97A04" w14:textId="1E68808E" w:rsidR="00A91036" w:rsidRDefault="0015418D" w:rsidP="009D2531">
      <w:pPr>
        <w:pStyle w:val="BodyText"/>
        <w:rPr>
          <w:lang w:eastAsia="ja-JP"/>
        </w:rPr>
      </w:pPr>
      <w:r>
        <w:rPr>
          <w:lang w:eastAsia="ja-JP"/>
        </w:rPr>
        <w:t>Before discussions, some relevant contents</w:t>
      </w:r>
      <w:r w:rsidR="00A91036">
        <w:rPr>
          <w:lang w:eastAsia="ja-JP"/>
        </w:rPr>
        <w:t xml:space="preserve"> </w:t>
      </w:r>
      <w:r>
        <w:rPr>
          <w:lang w:eastAsia="ja-JP"/>
        </w:rPr>
        <w:t>in</w:t>
      </w:r>
      <w:r w:rsidR="00A91036">
        <w:rPr>
          <w:lang w:eastAsia="ja-JP"/>
        </w:rPr>
        <w:t xml:space="preserve"> </w:t>
      </w:r>
      <w:r w:rsidR="00C0763B">
        <w:rPr>
          <w:lang w:eastAsia="ja-JP"/>
        </w:rPr>
        <w:t>the</w:t>
      </w:r>
      <w:r>
        <w:rPr>
          <w:lang w:eastAsia="ja-JP"/>
        </w:rPr>
        <w:t xml:space="preserve"> </w:t>
      </w:r>
      <w:r w:rsidR="00A91036">
        <w:rPr>
          <w:lang w:eastAsia="ja-JP"/>
        </w:rPr>
        <w:t>technical report</w:t>
      </w:r>
      <w:r w:rsidR="00C0763B">
        <w:rPr>
          <w:lang w:eastAsia="ja-JP"/>
        </w:rPr>
        <w:t>s</w:t>
      </w:r>
      <w:r w:rsidR="00A91036">
        <w:rPr>
          <w:lang w:eastAsia="ja-JP"/>
        </w:rPr>
        <w:t xml:space="preserve"> </w:t>
      </w:r>
      <w:r w:rsidR="000849B0">
        <w:rPr>
          <w:lang w:eastAsia="ja-JP"/>
        </w:rPr>
        <w:fldChar w:fldCharType="begin"/>
      </w:r>
      <w:r w:rsidR="000849B0">
        <w:rPr>
          <w:lang w:eastAsia="ja-JP"/>
        </w:rPr>
        <w:instrText xml:space="preserve"> REF _Ref477784800 \r \h </w:instrText>
      </w:r>
      <w:r w:rsidR="000849B0">
        <w:rPr>
          <w:lang w:eastAsia="ja-JP"/>
        </w:rPr>
      </w:r>
      <w:r w:rsidR="000849B0">
        <w:rPr>
          <w:lang w:eastAsia="ja-JP"/>
        </w:rPr>
        <w:fldChar w:fldCharType="separate"/>
      </w:r>
      <w:r w:rsidR="00E622B1">
        <w:rPr>
          <w:lang w:eastAsia="ja-JP"/>
        </w:rPr>
        <w:t>[2]</w:t>
      </w:r>
      <w:r w:rsidR="000849B0">
        <w:rPr>
          <w:lang w:eastAsia="ja-JP"/>
        </w:rPr>
        <w:fldChar w:fldCharType="end"/>
      </w:r>
      <w:r>
        <w:rPr>
          <w:lang w:eastAsia="ja-JP"/>
        </w:rPr>
        <w:t xml:space="preserve"> </w:t>
      </w:r>
      <w:r w:rsidR="00C0763B">
        <w:rPr>
          <w:lang w:eastAsia="ja-JP"/>
        </w:rPr>
        <w:fldChar w:fldCharType="begin"/>
      </w:r>
      <w:r w:rsidR="00C0763B">
        <w:rPr>
          <w:lang w:eastAsia="ja-JP"/>
        </w:rPr>
        <w:instrText xml:space="preserve"> REF _Ref477788860 \r \h </w:instrText>
      </w:r>
      <w:r w:rsidR="00C0763B">
        <w:rPr>
          <w:lang w:eastAsia="ja-JP"/>
        </w:rPr>
      </w:r>
      <w:r w:rsidR="00C0763B">
        <w:rPr>
          <w:lang w:eastAsia="ja-JP"/>
        </w:rPr>
        <w:fldChar w:fldCharType="separate"/>
      </w:r>
      <w:r w:rsidR="00E622B1">
        <w:rPr>
          <w:lang w:eastAsia="ja-JP"/>
        </w:rPr>
        <w:t>[3]</w:t>
      </w:r>
      <w:r w:rsidR="00C0763B">
        <w:rPr>
          <w:lang w:eastAsia="ja-JP"/>
        </w:rPr>
        <w:fldChar w:fldCharType="end"/>
      </w:r>
      <w:r w:rsidR="00C0763B">
        <w:rPr>
          <w:lang w:eastAsia="ja-JP"/>
        </w:rPr>
        <w:t xml:space="preserve"> </w:t>
      </w:r>
      <w:r>
        <w:rPr>
          <w:lang w:eastAsia="ja-JP"/>
        </w:rPr>
        <w:t>are listed below</w:t>
      </w:r>
      <w:r w:rsidR="00A91036">
        <w:rPr>
          <w:lang w:eastAsia="ja-JP"/>
        </w:rPr>
        <w:fldChar w:fldCharType="begin"/>
      </w:r>
      <w:r w:rsidR="00A91036">
        <w:rPr>
          <w:lang w:eastAsia="ja-JP"/>
        </w:rPr>
        <w:instrText xml:space="preserve"> REF _Ref477784354 \r \h </w:instrText>
      </w:r>
      <w:r w:rsidR="00A91036">
        <w:rPr>
          <w:lang w:eastAsia="ja-JP"/>
        </w:rPr>
      </w:r>
      <w:r w:rsidR="00A91036">
        <w:rPr>
          <w:lang w:eastAsia="ja-JP"/>
        </w:rPr>
        <w:fldChar w:fldCharType="separate"/>
      </w:r>
      <w:r w:rsidR="00E622B1">
        <w:rPr>
          <w:lang w:eastAsia="ja-JP"/>
        </w:rPr>
        <w:t>[1]</w:t>
      </w:r>
      <w:r w:rsidR="00A91036">
        <w:rPr>
          <w:lang w:eastAsia="ja-JP"/>
        </w:rPr>
        <w:fldChar w:fldCharType="end"/>
      </w:r>
      <w:r w:rsidR="00A91036">
        <w:rPr>
          <w:lang w:eastAsia="ja-JP"/>
        </w:rPr>
        <w:t>:</w:t>
      </w:r>
    </w:p>
    <w:p w14:paraId="35CE83A2" w14:textId="27C4FD2B" w:rsidR="0015418D" w:rsidRDefault="0015418D" w:rsidP="009D2531">
      <w:pPr>
        <w:pStyle w:val="BodyText"/>
        <w:numPr>
          <w:ilvl w:val="0"/>
          <w:numId w:val="40"/>
        </w:numPr>
        <w:rPr>
          <w:lang w:eastAsia="ja-JP"/>
        </w:rPr>
      </w:pPr>
      <w:r>
        <w:rPr>
          <w:lang w:eastAsia="ja-JP"/>
        </w:rPr>
        <w:t>Relevant issues for scheduling</w:t>
      </w:r>
    </w:p>
    <w:p w14:paraId="72A1EA7D" w14:textId="77777777" w:rsidR="000849B0" w:rsidRPr="009D2531" w:rsidRDefault="00A91036" w:rsidP="009D2531">
      <w:pPr>
        <w:pStyle w:val="BodyText"/>
        <w:numPr>
          <w:ilvl w:val="1"/>
          <w:numId w:val="40"/>
        </w:numPr>
        <w:rPr>
          <w:lang w:val="en-US" w:eastAsia="ja-JP"/>
        </w:rPr>
      </w:pPr>
      <w:r>
        <w:rPr>
          <w:lang w:eastAsia="ja-JP"/>
        </w:rPr>
        <w:t xml:space="preserve">NR supports at least same-slot and cross-slot scheduling for both DL and UL. </w:t>
      </w:r>
    </w:p>
    <w:p w14:paraId="46B1660D" w14:textId="050FD62D" w:rsidR="00A91036" w:rsidRPr="00995EB8" w:rsidRDefault="00A91036" w:rsidP="009D2531">
      <w:pPr>
        <w:pStyle w:val="BodyText"/>
        <w:numPr>
          <w:ilvl w:val="1"/>
          <w:numId w:val="40"/>
        </w:numPr>
        <w:rPr>
          <w:lang w:val="en-US" w:eastAsia="ja-JP"/>
        </w:rPr>
      </w:pPr>
      <w:r>
        <w:rPr>
          <w:lang w:val="en-US" w:eastAsia="ja-JP"/>
        </w:rPr>
        <w:t>Timing between DL</w:t>
      </w:r>
      <w:r w:rsidRPr="00B809F1">
        <w:rPr>
          <w:lang w:val="en-US" w:eastAsia="ja-JP"/>
        </w:rPr>
        <w:t xml:space="preserve"> assignment and correspondin</w:t>
      </w:r>
      <w:r>
        <w:rPr>
          <w:lang w:val="en-US" w:eastAsia="ja-JP"/>
        </w:rPr>
        <w:t>g DL data transmission is</w:t>
      </w:r>
      <w:r w:rsidRPr="00B809F1">
        <w:rPr>
          <w:lang w:val="en-US" w:eastAsia="ja-JP"/>
        </w:rPr>
        <w:t xml:space="preserve"> indicated by a </w:t>
      </w:r>
      <w:r>
        <w:rPr>
          <w:lang w:val="en-US" w:eastAsia="ja-JP"/>
        </w:rPr>
        <w:t>field in the DCI from a set of values and t</w:t>
      </w:r>
      <w:r w:rsidRPr="00B809F1">
        <w:rPr>
          <w:lang w:val="en-US" w:eastAsia="ja-JP"/>
        </w:rPr>
        <w:t xml:space="preserve">he </w:t>
      </w:r>
      <w:r>
        <w:rPr>
          <w:lang w:val="en-US" w:eastAsia="ja-JP"/>
        </w:rPr>
        <w:t xml:space="preserve">set of </w:t>
      </w:r>
      <w:r w:rsidRPr="00B809F1">
        <w:rPr>
          <w:lang w:val="en-US" w:eastAsia="ja-JP"/>
        </w:rPr>
        <w:t>value</w:t>
      </w:r>
      <w:r>
        <w:rPr>
          <w:lang w:val="en-US" w:eastAsia="ja-JP"/>
        </w:rPr>
        <w:t>s</w:t>
      </w:r>
      <w:r w:rsidRPr="00B809F1">
        <w:rPr>
          <w:lang w:val="en-US" w:eastAsia="ja-JP"/>
        </w:rPr>
        <w:t xml:space="preserve"> </w:t>
      </w:r>
      <w:r w:rsidR="00426AB0">
        <w:rPr>
          <w:lang w:val="en-US" w:eastAsia="ja-JP"/>
        </w:rPr>
        <w:t>are</w:t>
      </w:r>
      <w:r>
        <w:rPr>
          <w:lang w:val="en-US" w:eastAsia="ja-JP"/>
        </w:rPr>
        <w:t xml:space="preserve"> configured by higher layer. The t</w:t>
      </w:r>
      <w:r w:rsidRPr="00B809F1">
        <w:rPr>
          <w:lang w:val="en-US" w:eastAsia="ja-JP"/>
        </w:rPr>
        <w:t>iming(s) is</w:t>
      </w:r>
      <w:r>
        <w:rPr>
          <w:lang w:val="en-US" w:eastAsia="ja-JP"/>
        </w:rPr>
        <w:t xml:space="preserve"> </w:t>
      </w:r>
      <w:r w:rsidRPr="00B809F1">
        <w:rPr>
          <w:lang w:val="en-US" w:eastAsia="ja-JP"/>
        </w:rPr>
        <w:t>(are) defined at least for the case where the timing(s) is</w:t>
      </w:r>
      <w:r>
        <w:rPr>
          <w:lang w:val="en-US" w:eastAsia="ja-JP"/>
        </w:rPr>
        <w:t xml:space="preserve"> </w:t>
      </w:r>
      <w:r w:rsidRPr="00B809F1">
        <w:rPr>
          <w:lang w:val="en-US" w:eastAsia="ja-JP"/>
        </w:rPr>
        <w:t>(are) unknown to the UE</w:t>
      </w:r>
      <w:r>
        <w:rPr>
          <w:lang w:eastAsia="ja-JP"/>
        </w:rPr>
        <w:t>.</w:t>
      </w:r>
      <w:r w:rsidR="000849B0">
        <w:rPr>
          <w:iCs/>
          <w:lang w:val="en-US" w:eastAsia="ja-JP"/>
        </w:rPr>
        <w:t xml:space="preserve"> </w:t>
      </w:r>
    </w:p>
    <w:p w14:paraId="27EED0E2" w14:textId="27FEF03A" w:rsidR="0015418D" w:rsidRPr="00C0763B" w:rsidRDefault="0015418D" w:rsidP="009D2531">
      <w:pPr>
        <w:pStyle w:val="BodyText"/>
        <w:numPr>
          <w:ilvl w:val="1"/>
          <w:numId w:val="40"/>
        </w:numPr>
        <w:rPr>
          <w:lang w:val="en-US" w:eastAsia="ja-JP"/>
        </w:rPr>
      </w:pPr>
      <w:r>
        <w:rPr>
          <w:iCs/>
          <w:lang w:val="en-US" w:eastAsia="ja-JP"/>
        </w:rPr>
        <w:t>An URLLC transmission may be allowed to preempt another eMBB transmission if necessary.</w:t>
      </w:r>
    </w:p>
    <w:p w14:paraId="7A52B8E2" w14:textId="28C2E40E" w:rsidR="00C0763B" w:rsidRPr="00995EB8" w:rsidRDefault="00C0763B" w:rsidP="009D2531">
      <w:pPr>
        <w:pStyle w:val="BodyText"/>
        <w:numPr>
          <w:ilvl w:val="1"/>
          <w:numId w:val="40"/>
        </w:numPr>
        <w:rPr>
          <w:lang w:val="en-US" w:eastAsia="ja-JP"/>
        </w:rPr>
      </w:pPr>
      <w:r w:rsidRPr="000D7812">
        <w:t>Schedulers assign radio resources in a unit of TTI (e.g. one mini-slot, one slot, or multiple slots).</w:t>
      </w:r>
    </w:p>
    <w:p w14:paraId="458344DF" w14:textId="1EC6B0DB" w:rsidR="0015418D" w:rsidRPr="00A02211" w:rsidRDefault="0015418D" w:rsidP="009D2531">
      <w:pPr>
        <w:pStyle w:val="BodyText"/>
        <w:numPr>
          <w:ilvl w:val="0"/>
          <w:numId w:val="40"/>
        </w:numPr>
        <w:rPr>
          <w:lang w:val="en-US" w:eastAsia="ja-JP"/>
        </w:rPr>
      </w:pPr>
      <w:r>
        <w:rPr>
          <w:lang w:val="en-US" w:eastAsia="ja-JP"/>
        </w:rPr>
        <w:t>Relevant issues for HARQ feedback</w:t>
      </w:r>
    </w:p>
    <w:p w14:paraId="24C11AE7" w14:textId="77777777" w:rsidR="0015418D" w:rsidRDefault="00A91036" w:rsidP="009D2531">
      <w:pPr>
        <w:pStyle w:val="BodyText"/>
        <w:numPr>
          <w:ilvl w:val="1"/>
          <w:numId w:val="40"/>
        </w:numPr>
        <w:rPr>
          <w:lang w:val="en-US" w:eastAsia="ja-JP"/>
        </w:rPr>
      </w:pPr>
      <w:r w:rsidRPr="009D2531">
        <w:rPr>
          <w:lang w:val="en-US" w:eastAsia="ja-JP"/>
        </w:rPr>
        <w:t xml:space="preserve">HARQ-ACK feedback with one bit per TB is supported. </w:t>
      </w:r>
    </w:p>
    <w:p w14:paraId="1584BB69" w14:textId="1537B547" w:rsidR="00A91036" w:rsidRPr="009D2531" w:rsidRDefault="00A91036" w:rsidP="009D2531">
      <w:pPr>
        <w:pStyle w:val="BodyText"/>
        <w:numPr>
          <w:ilvl w:val="1"/>
          <w:numId w:val="40"/>
        </w:numPr>
        <w:rPr>
          <w:lang w:val="en-US" w:eastAsia="ja-JP"/>
        </w:rPr>
      </w:pPr>
      <w:r w:rsidRPr="009D2531">
        <w:rPr>
          <w:lang w:val="en-US" w:eastAsia="ja-JP"/>
        </w:rPr>
        <w:t xml:space="preserve">UE supports a set of minimum HARQ processing time. NR also supports different minimum HARQ processing time at least for across UEs. </w:t>
      </w:r>
    </w:p>
    <w:p w14:paraId="610769BC" w14:textId="77777777" w:rsidR="003C6B6D" w:rsidRDefault="00A91036" w:rsidP="009D2531">
      <w:pPr>
        <w:pStyle w:val="BodyText"/>
        <w:numPr>
          <w:ilvl w:val="1"/>
          <w:numId w:val="40"/>
        </w:numPr>
        <w:rPr>
          <w:lang w:val="en-US" w:eastAsia="ja-JP"/>
        </w:rPr>
      </w:pPr>
      <w:r w:rsidRPr="009D2531">
        <w:rPr>
          <w:lang w:val="en-US" w:eastAsia="ja-JP"/>
        </w:rPr>
        <w:t xml:space="preserve">Asynchronous and adaptive DL HARQ is supported at least for eMBB and URLLC. From UE perspective, HARQ ACK/NACK feedback for multiple DL transmissions in time can be transmitted in one UL data/control region. </w:t>
      </w:r>
    </w:p>
    <w:p w14:paraId="2016703B" w14:textId="117217CA" w:rsidR="00A91036" w:rsidRPr="009D2531" w:rsidRDefault="00A91036" w:rsidP="009D2531">
      <w:pPr>
        <w:pStyle w:val="BodyText"/>
        <w:numPr>
          <w:ilvl w:val="1"/>
          <w:numId w:val="40"/>
        </w:numPr>
        <w:rPr>
          <w:lang w:val="en-US" w:eastAsia="ja-JP"/>
        </w:rPr>
      </w:pPr>
      <w:r w:rsidRPr="009D2531">
        <w:rPr>
          <w:lang w:val="en-US" w:eastAsia="ja-JP"/>
        </w:rPr>
        <w:t>Timing between DL data reception and corresponding acknowledgement is indicated by a field in the DCI from a set of values and the set of values is configured by higher layer. The timing(s) is (are) defined at least for the case where the timing(s) is (are) unknown to the UE.</w:t>
      </w:r>
    </w:p>
    <w:p w14:paraId="2FE6DC3E" w14:textId="395F449E" w:rsidR="00632F13" w:rsidRDefault="00A91036" w:rsidP="009D2531">
      <w:pPr>
        <w:pStyle w:val="BodyText"/>
        <w:numPr>
          <w:ilvl w:val="1"/>
          <w:numId w:val="40"/>
        </w:numPr>
        <w:rPr>
          <w:lang w:val="en-US" w:eastAsia="ja-JP"/>
        </w:rPr>
      </w:pPr>
      <w:r w:rsidRPr="009D2531">
        <w:rPr>
          <w:lang w:val="en-US" w:eastAsia="ja-JP"/>
        </w:rPr>
        <w:t>Code Block Group (CBG)-based transmission with single/multi-bit</w:t>
      </w:r>
      <w:r w:rsidR="003C6B6D" w:rsidRPr="009D2531">
        <w:rPr>
          <w:lang w:val="en-US" w:eastAsia="ja-JP"/>
        </w:rPr>
        <w:t xml:space="preserve"> HARQ-ACK feedback is supported</w:t>
      </w:r>
      <w:r w:rsidR="00750D72" w:rsidRPr="009D2531">
        <w:rPr>
          <w:lang w:val="en-US" w:eastAsia="ja-JP"/>
        </w:rPr>
        <w:t>.</w:t>
      </w:r>
      <w:r w:rsidR="0083622F" w:rsidRPr="009D2531">
        <w:rPr>
          <w:lang w:val="en-US" w:eastAsia="ja-JP"/>
        </w:rPr>
        <w:t xml:space="preserve"> </w:t>
      </w:r>
    </w:p>
    <w:p w14:paraId="68F7B010" w14:textId="6BA84FB2" w:rsidR="00B56FD8" w:rsidRPr="009D2531" w:rsidRDefault="00426AB0" w:rsidP="009D2531">
      <w:pPr>
        <w:pStyle w:val="BodyText"/>
      </w:pPr>
      <w:r w:rsidRPr="009D2531">
        <w:t xml:space="preserve">In [2], it is also included that both </w:t>
      </w:r>
      <w:r w:rsidR="0033427D">
        <w:t xml:space="preserve">long </w:t>
      </w:r>
      <w:r w:rsidRPr="009D2531">
        <w:t>PUCCH format (e.g. one slot) and short PUCCH format (e.g. 1 symbol) will be supported in NR</w:t>
      </w:r>
      <w:r w:rsidR="00D774F7" w:rsidRPr="009D2531">
        <w:t>, which will also impact the HARQ feedback timing of NR.</w:t>
      </w:r>
    </w:p>
    <w:p w14:paraId="5E4F2416" w14:textId="05B35FE6" w:rsidR="00E63F9C" w:rsidRPr="009D2531" w:rsidRDefault="00E63F9C" w:rsidP="009D2531">
      <w:pPr>
        <w:pStyle w:val="BodyText"/>
      </w:pPr>
      <w:r w:rsidRPr="009D2531">
        <w:t xml:space="preserve">In this contribution we discuss </w:t>
      </w:r>
      <w:r w:rsidR="00426AB0" w:rsidRPr="009D2531">
        <w:t>the requirements and options</w:t>
      </w:r>
      <w:r w:rsidRPr="009D2531">
        <w:t xml:space="preserve"> to send HARQ feedback. We conclude that we should keep some aspects from LTE (like keeping HARQ feedback schemes transparent to MAC) and that the HARQ feedback reliability should be improved as RLC ARQ cannot be used for URLLC.</w:t>
      </w:r>
      <w:r w:rsidR="00AD37C6">
        <w:t xml:space="preserve"> We discuss HARQ feedback </w:t>
      </w:r>
      <w:r w:rsidR="00D10166">
        <w:t xml:space="preserve">design </w:t>
      </w:r>
      <w:r w:rsidR="00AD37C6">
        <w:t xml:space="preserve">for </w:t>
      </w:r>
      <w:r w:rsidR="0033427D">
        <w:t xml:space="preserve">specific for </w:t>
      </w:r>
      <w:r w:rsidR="00AD37C6">
        <w:t>UL SPS scheduling in</w:t>
      </w:r>
      <w:r w:rsidR="00D10166">
        <w:t xml:space="preserve"> </w:t>
      </w:r>
      <w:r w:rsidR="00D10166">
        <w:fldChar w:fldCharType="begin"/>
      </w:r>
      <w:r w:rsidR="00D10166">
        <w:instrText xml:space="preserve"> REF _Ref481672360 \r \h </w:instrText>
      </w:r>
      <w:r w:rsidR="00D10166">
        <w:fldChar w:fldCharType="separate"/>
      </w:r>
      <w:r w:rsidR="00D10166">
        <w:t>[5]</w:t>
      </w:r>
      <w:r w:rsidR="00D10166">
        <w:fldChar w:fldCharType="end"/>
      </w:r>
      <w:r w:rsidR="00D10166">
        <w:t>.</w:t>
      </w:r>
    </w:p>
    <w:p w14:paraId="36CEC7B2" w14:textId="40327398" w:rsidR="001643A8" w:rsidRDefault="004000E8" w:rsidP="00677F0F">
      <w:pPr>
        <w:pStyle w:val="Heading1"/>
      </w:pPr>
      <w:bookmarkStart w:id="3" w:name="_Ref178064866"/>
      <w:r w:rsidRPr="00677F0F">
        <w:lastRenderedPageBreak/>
        <w:t>Discussion</w:t>
      </w:r>
      <w:bookmarkEnd w:id="3"/>
    </w:p>
    <w:p w14:paraId="47AD3389" w14:textId="198C6A3B" w:rsidR="00260BB1" w:rsidRDefault="00260BB1" w:rsidP="00677F0F">
      <w:pPr>
        <w:pStyle w:val="Heading2"/>
      </w:pPr>
      <w:r>
        <w:t xml:space="preserve">Background </w:t>
      </w:r>
      <w:r w:rsidR="009D2531" w:rsidRPr="00677F0F">
        <w:t>and</w:t>
      </w:r>
      <w:r w:rsidR="009D2531">
        <w:t xml:space="preserve"> R</w:t>
      </w:r>
      <w:r>
        <w:t>equirements</w:t>
      </w:r>
    </w:p>
    <w:p w14:paraId="5C6B29E8" w14:textId="2CB57098" w:rsidR="001E1AE2" w:rsidRDefault="00632F13" w:rsidP="00632F13">
      <w:r>
        <w:t>Since NR is supposed to support services of various QoS requirement</w:t>
      </w:r>
      <w:r w:rsidR="00D67E39">
        <w:t>s</w:t>
      </w:r>
      <w:r>
        <w:t xml:space="preserve"> and HARQ is one important feature with respect to the transmission delay in the air interface</w:t>
      </w:r>
      <w:r w:rsidR="00085FA9">
        <w:t xml:space="preserve">, the </w:t>
      </w:r>
      <w:r w:rsidR="00C52224">
        <w:t>HARQ feedback design not only impact</w:t>
      </w:r>
      <w:r w:rsidR="00805B67">
        <w:t>s</w:t>
      </w:r>
      <w:r w:rsidR="00C52224">
        <w:t xml:space="preserve"> the transmission delay over the air interface, but </w:t>
      </w:r>
      <w:r w:rsidR="00E63F9C">
        <w:t xml:space="preserve">it </w:t>
      </w:r>
      <w:r w:rsidR="00C52224">
        <w:t>also impact</w:t>
      </w:r>
      <w:r w:rsidR="00E63F9C">
        <w:t>s</w:t>
      </w:r>
      <w:r w:rsidR="00C52224">
        <w:t xml:space="preserve"> the overhead for control channel transmissions. </w:t>
      </w:r>
    </w:p>
    <w:p w14:paraId="477F3CC9" w14:textId="0D253D81" w:rsidR="00C52224" w:rsidRDefault="00085FA9" w:rsidP="00632F13">
      <w:r>
        <w:t xml:space="preserve">As an example, for URLLC which requires low air </w:t>
      </w:r>
      <w:r w:rsidR="00182BF9">
        <w:t>interface</w:t>
      </w:r>
      <w:r>
        <w:t xml:space="preserve"> delay it is beneficial (or in principle required) that the network configures HARQ with as short delay for the HARQ feedback as possible. This implies that </w:t>
      </w:r>
      <w:r w:rsidR="00182BF9">
        <w:t>aggregation</w:t>
      </w:r>
      <w:r>
        <w:t xml:space="preserve"> of HARQ feedback is not suitable as that increases the delay. Hence a design where one transmission of a transport block results in one HARQ feedback transmission</w:t>
      </w:r>
      <w:r w:rsidR="00E63F9C">
        <w:t xml:space="preserve"> is needed</w:t>
      </w:r>
      <w:r>
        <w:t xml:space="preserve">. </w:t>
      </w:r>
      <w:r w:rsidR="00E63F9C">
        <w:t>However, this</w:t>
      </w:r>
      <w:r>
        <w:t xml:space="preserve"> creates additional overhead which should be mitigated. </w:t>
      </w:r>
      <w:r w:rsidR="00E63F9C">
        <w:t>For TDD, the</w:t>
      </w:r>
      <w:r>
        <w:t xml:space="preserve"> guard period and UL-DL switch aggravates the problem.</w:t>
      </w:r>
    </w:p>
    <w:p w14:paraId="1F4955BA" w14:textId="6E72FD71" w:rsidR="001E1AE2" w:rsidRDefault="00085FA9" w:rsidP="00632F13">
      <w:r>
        <w:t xml:space="preserve">For eMBB the </w:t>
      </w:r>
      <w:r w:rsidR="001E1AE2">
        <w:t xml:space="preserve">HARQ round trip time </w:t>
      </w:r>
      <w:r w:rsidR="00D67E39">
        <w:t xml:space="preserve">(RTT) </w:t>
      </w:r>
      <w:r w:rsidR="00A20062">
        <w:t>is also important</w:t>
      </w:r>
      <w:r w:rsidR="004C1075">
        <w:t>,</w:t>
      </w:r>
      <w:r w:rsidR="00145154">
        <w:t xml:space="preserve"> </w:t>
      </w:r>
      <w:r w:rsidR="004C1075">
        <w:t xml:space="preserve">while </w:t>
      </w:r>
      <w:r w:rsidR="00260BB1">
        <w:t xml:space="preserve">as </w:t>
      </w:r>
      <w:r w:rsidR="004C1075">
        <w:t>f</w:t>
      </w:r>
      <w:r w:rsidR="001E1AE2">
        <w:t xml:space="preserve">requent HARQ feedback </w:t>
      </w:r>
      <w:r>
        <w:t xml:space="preserve">as used for </w:t>
      </w:r>
      <w:r w:rsidR="006D5AE3">
        <w:t xml:space="preserve">URLLC may be not beneficial due to the overhead mentioned above. </w:t>
      </w:r>
      <w:r>
        <w:t xml:space="preserve">Instead it is of interest to investigate </w:t>
      </w:r>
      <w:r w:rsidR="00AD2486">
        <w:t xml:space="preserve">feedback modes where the HARQ feedback for several transport block transmissions are </w:t>
      </w:r>
      <w:r w:rsidR="004C1075">
        <w:t>aggregated</w:t>
      </w:r>
      <w:r w:rsidR="00AD2486">
        <w:t xml:space="preserve"> and transmitted in one TTI. This</w:t>
      </w:r>
      <w:r w:rsidR="006D5AE3">
        <w:t xml:space="preserve"> </w:t>
      </w:r>
      <w:r w:rsidR="00C70ACB">
        <w:t xml:space="preserve">reduces the overhead for DCI transmission and </w:t>
      </w:r>
      <w:r w:rsidR="00D67E39">
        <w:t>the guard period of DL-UL</w:t>
      </w:r>
      <w:r w:rsidR="00C70ACB">
        <w:t xml:space="preserve"> switch for HARQ feedback transmission. For unlicensed operation,</w:t>
      </w:r>
      <w:r w:rsidR="006D5AE3">
        <w:t xml:space="preserve"> multiple subframe scheduling </w:t>
      </w:r>
      <w:r w:rsidR="00C70ACB">
        <w:t xml:space="preserve">can further reduce the LBT attempts within one Maximum Channel Occupancy Time </w:t>
      </w:r>
      <w:r w:rsidR="007C3186">
        <w:t xml:space="preserve">window </w:t>
      </w:r>
      <w:r w:rsidR="00C70ACB">
        <w:t>(MCOT)</w:t>
      </w:r>
      <w:r w:rsidR="006D5AE3">
        <w:t xml:space="preserve"> </w:t>
      </w:r>
      <w:r w:rsidR="00C70ACB">
        <w:t>because there is less role change between transmitter and receiver</w:t>
      </w:r>
      <w:r w:rsidR="007C3186">
        <w:t xml:space="preserve"> for a radio node</w:t>
      </w:r>
      <w:r w:rsidR="006D5AE3">
        <w:t>. The shorter the slot length</w:t>
      </w:r>
      <w:r w:rsidR="005942AD">
        <w:t xml:space="preserve"> is, the larger overhead due to</w:t>
      </w:r>
      <w:r w:rsidR="00E42C9E">
        <w:t xml:space="preserve"> the</w:t>
      </w:r>
      <w:r w:rsidR="005942AD">
        <w:t xml:space="preserve"> frequent HARQ feedback.</w:t>
      </w:r>
      <w:r w:rsidR="00035516">
        <w:t xml:space="preserve"> Currently, the typical view is that the slot duration is very short for high frequency operation and multiple subframe scheduling will be widely used.</w:t>
      </w:r>
    </w:p>
    <w:p w14:paraId="2318F86E" w14:textId="77777777" w:rsidR="005942AD" w:rsidRDefault="005942AD" w:rsidP="00632F13">
      <w:r w:rsidRPr="004D2A7B">
        <w:rPr>
          <w:noProof/>
          <w:lang w:val="sv-SE"/>
        </w:rPr>
        <w:drawing>
          <wp:inline distT="0" distB="0" distL="0" distR="0" wp14:anchorId="00773C66" wp14:editId="7954C1A2">
            <wp:extent cx="5759450" cy="941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43428"/>
                    <a:stretch>
                      <a:fillRect/>
                    </a:stretch>
                  </pic:blipFill>
                  <pic:spPr bwMode="auto">
                    <a:xfrm>
                      <a:off x="0" y="0"/>
                      <a:ext cx="5759450" cy="941705"/>
                    </a:xfrm>
                    <a:prstGeom prst="rect">
                      <a:avLst/>
                    </a:prstGeom>
                    <a:noFill/>
                    <a:ln>
                      <a:noFill/>
                    </a:ln>
                  </pic:spPr>
                </pic:pic>
              </a:graphicData>
            </a:graphic>
          </wp:inline>
        </w:drawing>
      </w:r>
    </w:p>
    <w:p w14:paraId="40B7CD6F" w14:textId="50089863" w:rsidR="005942AD" w:rsidRPr="00423142" w:rsidRDefault="005942AD" w:rsidP="005942AD">
      <w:pPr>
        <w:pStyle w:val="Caption"/>
      </w:pPr>
      <w:bookmarkStart w:id="4" w:name="_Ref458434580"/>
      <w:r>
        <w:t xml:space="preserve">Figure </w:t>
      </w:r>
      <w:r>
        <w:fldChar w:fldCharType="begin"/>
      </w:r>
      <w:r>
        <w:instrText xml:space="preserve"> SEQ Figure \* ARABIC </w:instrText>
      </w:r>
      <w:r>
        <w:fldChar w:fldCharType="separate"/>
      </w:r>
      <w:r w:rsidR="00E622B1">
        <w:rPr>
          <w:noProof/>
        </w:rPr>
        <w:t>1</w:t>
      </w:r>
      <w:r>
        <w:fldChar w:fldCharType="end"/>
      </w:r>
      <w:bookmarkEnd w:id="4"/>
      <w:r>
        <w:t>: Proposed feedback modes for NR.</w:t>
      </w:r>
    </w:p>
    <w:p w14:paraId="14AF3C48" w14:textId="0E90EEC7" w:rsidR="005942AD" w:rsidRDefault="005E7862" w:rsidP="00632F13">
      <w:r>
        <w:t>To o</w:t>
      </w:r>
      <w:r w:rsidR="002E2D0D">
        <w:t>ptimize the trade-off between</w:t>
      </w:r>
      <w:r>
        <w:t xml:space="preserve"> the delay requirements and the overhead in different conditions, </w:t>
      </w:r>
      <w:r w:rsidR="00C52224">
        <w:t>RAN1 and RAN2 agreement</w:t>
      </w:r>
      <w:r w:rsidR="00035516">
        <w:t xml:space="preserve">s mentioned in Section </w:t>
      </w:r>
      <w:r w:rsidR="00035516">
        <w:fldChar w:fldCharType="begin"/>
      </w:r>
      <w:r w:rsidR="00035516">
        <w:instrText xml:space="preserve"> REF _Ref469495640 \r \h </w:instrText>
      </w:r>
      <w:r w:rsidR="00035516">
        <w:fldChar w:fldCharType="separate"/>
      </w:r>
      <w:r w:rsidR="00E622B1">
        <w:t>1</w:t>
      </w:r>
      <w:r w:rsidR="00035516">
        <w:fldChar w:fldCharType="end"/>
      </w:r>
      <w:r w:rsidR="00035516">
        <w:t xml:space="preserve"> provide </w:t>
      </w:r>
      <w:r w:rsidR="00DD4591">
        <w:t xml:space="preserve">means </w:t>
      </w:r>
      <w:r w:rsidR="00035516">
        <w:t xml:space="preserve">for </w:t>
      </w:r>
      <w:r w:rsidR="00632F13">
        <w:t>the network to configure the timing of HARQ feedback with respect to the data transmission occurrences for downlink data TX and the timing of UL grant transmission to the UL data TX occurrences.</w:t>
      </w:r>
    </w:p>
    <w:p w14:paraId="18D4D4AD" w14:textId="1BA16FE8" w:rsidR="005942AD" w:rsidRDefault="005942AD" w:rsidP="0033427D">
      <w:pPr>
        <w:pStyle w:val="Observation"/>
        <w:ind w:left="1701" w:hanging="1701"/>
      </w:pPr>
      <w:bookmarkStart w:id="5" w:name="_Toc471138457"/>
      <w:bookmarkStart w:id="6" w:name="_Toc471138595"/>
      <w:bookmarkStart w:id="7" w:name="_Toc471138628"/>
      <w:bookmarkStart w:id="8" w:name="_Toc471478736"/>
      <w:bookmarkStart w:id="9" w:name="_Toc478149623"/>
      <w:bookmarkStart w:id="10" w:name="_Toc478149681"/>
      <w:bookmarkStart w:id="11" w:name="_Toc481596084"/>
      <w:bookmarkStart w:id="12" w:name="_Toc481761771"/>
      <w:bookmarkStart w:id="13" w:name="_Toc481867297"/>
      <w:r>
        <w:t xml:space="preserve">Compared to HARQ feedback in LTE, the </w:t>
      </w:r>
      <w:r w:rsidR="00C50004">
        <w:t>HARQ feedback</w:t>
      </w:r>
      <w:r>
        <w:t xml:space="preserve"> timing</w:t>
      </w:r>
      <w:r w:rsidR="002E2D0D">
        <w:t xml:space="preserve"> for NR</w:t>
      </w:r>
      <w:r>
        <w:t xml:space="preserve"> </w:t>
      </w:r>
      <w:r w:rsidR="00C50004">
        <w:t>i</w:t>
      </w:r>
      <w:r>
        <w:t>s more flexible.</w:t>
      </w:r>
      <w:bookmarkEnd w:id="5"/>
      <w:bookmarkEnd w:id="6"/>
      <w:bookmarkEnd w:id="7"/>
      <w:bookmarkEnd w:id="8"/>
      <w:bookmarkEnd w:id="9"/>
      <w:bookmarkEnd w:id="10"/>
      <w:bookmarkEnd w:id="11"/>
      <w:bookmarkEnd w:id="12"/>
      <w:bookmarkEnd w:id="13"/>
    </w:p>
    <w:p w14:paraId="2A2E65D8" w14:textId="635A6322" w:rsidR="00C50004" w:rsidRDefault="00C50004" w:rsidP="00F135DC">
      <w:pPr>
        <w:pStyle w:val="BodyText"/>
      </w:pPr>
      <w:r>
        <w:t>From the RAN1 agreement</w:t>
      </w:r>
      <w:r w:rsidR="002E2D0D">
        <w:t>s</w:t>
      </w:r>
      <w:r>
        <w:t xml:space="preserve"> </w:t>
      </w:r>
      <w:r w:rsidR="002E2D0D">
        <w:t>regarding the</w:t>
      </w:r>
      <w:r w:rsidR="00F135DC">
        <w:t xml:space="preserve"> physical</w:t>
      </w:r>
      <w:r>
        <w:t xml:space="preserve"> </w:t>
      </w:r>
      <w:r w:rsidR="00F135DC">
        <w:t>channel design, there are similar physical channel design</w:t>
      </w:r>
      <w:r w:rsidR="005621BB">
        <w:t xml:space="preserve"> philosophy as LTE</w:t>
      </w:r>
      <w:r w:rsidR="00F135DC">
        <w:t xml:space="preserve">: </w:t>
      </w:r>
      <w:r w:rsidR="00181EB6">
        <w:t>UCI can be carried over both PUSCH and PUCCH</w:t>
      </w:r>
      <w:r w:rsidR="00F135DC">
        <w:t xml:space="preserve">. </w:t>
      </w:r>
      <w:r w:rsidR="005621BB">
        <w:t xml:space="preserve">One identified difference according to </w:t>
      </w:r>
      <w:r w:rsidR="005A4C2C">
        <w:fldChar w:fldCharType="begin"/>
      </w:r>
      <w:r w:rsidR="005A4C2C">
        <w:instrText xml:space="preserve"> REF _Ref477790503 \r \h </w:instrText>
      </w:r>
      <w:r w:rsidR="005A4C2C">
        <w:fldChar w:fldCharType="separate"/>
      </w:r>
      <w:r w:rsidR="00E622B1">
        <w:t>[2]</w:t>
      </w:r>
      <w:r w:rsidR="005A4C2C">
        <w:fldChar w:fldCharType="end"/>
      </w:r>
      <w:r w:rsidR="005621BB">
        <w:t xml:space="preserve"> is that NR will have long PUCCH format </w:t>
      </w:r>
      <w:r w:rsidR="002E2D0D">
        <w:t>(</w:t>
      </w:r>
      <w:r w:rsidR="005A4C2C">
        <w:t>e.g. one slot</w:t>
      </w:r>
      <w:r w:rsidR="002E2D0D">
        <w:t xml:space="preserve">) </w:t>
      </w:r>
      <w:r w:rsidR="005621BB">
        <w:t>and short PUCCH format</w:t>
      </w:r>
      <w:r w:rsidR="002E2D0D">
        <w:t xml:space="preserve"> (</w:t>
      </w:r>
      <w:r w:rsidR="005A4C2C">
        <w:t>e.g. 1 OFDM symbol</w:t>
      </w:r>
      <w:r w:rsidR="002E2D0D">
        <w:t>)</w:t>
      </w:r>
      <w:r w:rsidR="005621BB">
        <w:t xml:space="preserve">. </w:t>
      </w:r>
      <w:r w:rsidR="002E2D0D">
        <w:t>The long PUCCH format can be configured at poor coverage. Short PUCCH format can be configured for immediate HARQ feedback</w:t>
      </w:r>
      <w:r w:rsidR="004B7C52">
        <w:t xml:space="preserve">. </w:t>
      </w:r>
      <w:r w:rsidR="00A219BB">
        <w:t xml:space="preserve">For unlicensed operation, short PUCCH format may be </w:t>
      </w:r>
      <w:r w:rsidR="00A20062">
        <w:t xml:space="preserve">used </w:t>
      </w:r>
      <w:r w:rsidR="00AF7335">
        <w:t>since</w:t>
      </w:r>
      <w:r w:rsidR="00504F9E">
        <w:t xml:space="preserve"> it reduce</w:t>
      </w:r>
      <w:r w:rsidR="00AF7335">
        <w:t xml:space="preserve">s </w:t>
      </w:r>
      <w:r w:rsidR="00A219BB">
        <w:t xml:space="preserve">the necessity to multiplex the PUCCHs from multiple UEs in frequency domain, which could simplify the design of the PUCCH transmission in UL when LBT and power density requirement of the occupied bandwidth are taken into </w:t>
      </w:r>
      <w:r w:rsidR="00A20062">
        <w:t>consideration</w:t>
      </w:r>
      <w:r w:rsidR="00A219BB">
        <w:t xml:space="preserve">. </w:t>
      </w:r>
      <w:r w:rsidR="005621BB">
        <w:t>The detail</w:t>
      </w:r>
      <w:r w:rsidR="00260BB1">
        <w:t>ed</w:t>
      </w:r>
      <w:r w:rsidR="005621BB">
        <w:t xml:space="preserve"> design is still being discussed</w:t>
      </w:r>
      <w:r w:rsidR="00A219BB">
        <w:t xml:space="preserve"> in RAN1</w:t>
      </w:r>
      <w:r w:rsidR="005621BB">
        <w:t>.</w:t>
      </w:r>
      <w:r w:rsidR="00C70ACB">
        <w:t xml:space="preserve"> </w:t>
      </w:r>
    </w:p>
    <w:p w14:paraId="7F9A656B" w14:textId="30A9A127" w:rsidR="005621BB" w:rsidRDefault="002E2D0D" w:rsidP="0033427D">
      <w:pPr>
        <w:pStyle w:val="Observation"/>
        <w:ind w:left="1701" w:hanging="1701"/>
      </w:pPr>
      <w:bookmarkStart w:id="14" w:name="_Toc471138458"/>
      <w:bookmarkStart w:id="15" w:name="_Toc471138596"/>
      <w:bookmarkStart w:id="16" w:name="_Toc471138629"/>
      <w:bookmarkStart w:id="17" w:name="_Toc471478737"/>
      <w:bookmarkStart w:id="18" w:name="_Toc478149624"/>
      <w:bookmarkStart w:id="19" w:name="_Toc478149682"/>
      <w:bookmarkStart w:id="20" w:name="_Toc481596085"/>
      <w:bookmarkStart w:id="21" w:name="_Toc481761772"/>
      <w:bookmarkStart w:id="22" w:name="_Toc481867298"/>
      <w:r>
        <w:t>Compared to LTE,</w:t>
      </w:r>
      <w:r w:rsidDel="002E2D0D">
        <w:t xml:space="preserve"> </w:t>
      </w:r>
      <w:r w:rsidR="006D164C">
        <w:t>both long and short PUCCH</w:t>
      </w:r>
      <w:r>
        <w:t xml:space="preserve"> formats will be</w:t>
      </w:r>
      <w:r w:rsidR="00224DF2">
        <w:t xml:space="preserve"> </w:t>
      </w:r>
      <w:r w:rsidR="006D164C">
        <w:t xml:space="preserve">supported </w:t>
      </w:r>
      <w:r>
        <w:t>for d</w:t>
      </w:r>
      <w:r w:rsidR="004B7C52">
        <w:t>ifferent application cases</w:t>
      </w:r>
      <w:r w:rsidR="00224DF2">
        <w:t>.</w:t>
      </w:r>
      <w:bookmarkEnd w:id="14"/>
      <w:bookmarkEnd w:id="15"/>
      <w:bookmarkEnd w:id="16"/>
      <w:bookmarkEnd w:id="17"/>
      <w:bookmarkEnd w:id="18"/>
      <w:bookmarkEnd w:id="19"/>
      <w:bookmarkEnd w:id="20"/>
      <w:bookmarkEnd w:id="21"/>
      <w:bookmarkEnd w:id="22"/>
      <w:r w:rsidR="005621BB">
        <w:t xml:space="preserve"> </w:t>
      </w:r>
    </w:p>
    <w:p w14:paraId="074FCB39" w14:textId="39119ABE" w:rsidR="00C70ACB" w:rsidRDefault="00B8436E" w:rsidP="00C70ACB">
      <w:pPr>
        <w:pStyle w:val="BodyText"/>
      </w:pPr>
      <w:r>
        <w:t xml:space="preserve">As mentioned in Section </w:t>
      </w:r>
      <w:r>
        <w:fldChar w:fldCharType="begin"/>
      </w:r>
      <w:r>
        <w:instrText xml:space="preserve"> REF _Ref477790965 \r \h </w:instrText>
      </w:r>
      <w:r>
        <w:fldChar w:fldCharType="separate"/>
      </w:r>
      <w:r w:rsidR="00E622B1">
        <w:t>1</w:t>
      </w:r>
      <w:r>
        <w:fldChar w:fldCharType="end"/>
      </w:r>
      <w:r>
        <w:t>, in addition to single HARQ A/N bit per transport block similar as LTE, code block group</w:t>
      </w:r>
      <w:r w:rsidR="000E40CB">
        <w:t xml:space="preserve"> (CBG)</w:t>
      </w:r>
      <w:r>
        <w:t xml:space="preserve"> based HARQ feedback will also be supported in NR</w:t>
      </w:r>
      <w:r w:rsidR="00A20062">
        <w:t>.</w:t>
      </w:r>
      <w:r w:rsidR="000E40CB">
        <w:t xml:space="preserve"> For CBG based HARQ feedback, the code blocks in one transport block are grouped into CBGs there is one HARQ A/N bit for each CBG. Hence there can be multiple HARQ A/N bits for one transport block </w:t>
      </w:r>
      <w:r w:rsidR="00E94DE9">
        <w:t>when</w:t>
      </w:r>
      <w:r w:rsidR="000E40CB">
        <w:t xml:space="preserve"> CBG based feedback is configured.</w:t>
      </w:r>
    </w:p>
    <w:p w14:paraId="799C9DB4" w14:textId="171855D4" w:rsidR="00BE40AE" w:rsidRDefault="000E40CB" w:rsidP="0033427D">
      <w:pPr>
        <w:pStyle w:val="Observation"/>
        <w:ind w:left="1701" w:hanging="1701"/>
      </w:pPr>
      <w:bookmarkStart w:id="23" w:name="_Toc471138459"/>
      <w:bookmarkStart w:id="24" w:name="_Toc471138597"/>
      <w:bookmarkStart w:id="25" w:name="_Toc471138630"/>
      <w:bookmarkStart w:id="26" w:name="_Toc471478738"/>
      <w:bookmarkStart w:id="27" w:name="_Toc478149625"/>
      <w:bookmarkStart w:id="28" w:name="_Toc478149683"/>
      <w:bookmarkStart w:id="29" w:name="_Toc481596086"/>
      <w:bookmarkStart w:id="30" w:name="_Toc481761773"/>
      <w:bookmarkStart w:id="31" w:name="_Toc481867299"/>
      <w:r>
        <w:t>In addition to single HARQ A/N bit per transport block as LTE, NR also support</w:t>
      </w:r>
      <w:r w:rsidR="0033427D">
        <w:t>s</w:t>
      </w:r>
      <w:r>
        <w:t xml:space="preserve"> multiple HARQ A/N bits per transport block</w:t>
      </w:r>
      <w:r w:rsidR="0053589C">
        <w:t>.</w:t>
      </w:r>
      <w:bookmarkStart w:id="32" w:name="_Toc471138460"/>
      <w:bookmarkStart w:id="33" w:name="_Toc471138598"/>
      <w:bookmarkStart w:id="34" w:name="_Toc471138631"/>
      <w:bookmarkEnd w:id="23"/>
      <w:bookmarkEnd w:id="24"/>
      <w:bookmarkEnd w:id="25"/>
      <w:bookmarkEnd w:id="26"/>
      <w:bookmarkEnd w:id="27"/>
      <w:bookmarkEnd w:id="28"/>
      <w:bookmarkEnd w:id="29"/>
      <w:bookmarkEnd w:id="30"/>
      <w:bookmarkEnd w:id="31"/>
      <w:bookmarkEnd w:id="32"/>
      <w:bookmarkEnd w:id="33"/>
      <w:bookmarkEnd w:id="34"/>
    </w:p>
    <w:p w14:paraId="1D95A0E2" w14:textId="7F554177" w:rsidR="001461E5" w:rsidRDefault="0053589C" w:rsidP="005621BB">
      <w:pPr>
        <w:pStyle w:val="BodyText"/>
      </w:pPr>
      <w:r>
        <w:t>From the above observations, one can conclude that t</w:t>
      </w:r>
      <w:r w:rsidR="005621BB">
        <w:t>he HARQ feedback</w:t>
      </w:r>
      <w:r w:rsidR="00260BB1">
        <w:t xml:space="preserve"> in NR</w:t>
      </w:r>
      <w:r w:rsidR="005621BB">
        <w:t xml:space="preserve"> </w:t>
      </w:r>
      <w:r>
        <w:t>will be</w:t>
      </w:r>
      <w:r w:rsidR="005621BB">
        <w:t xml:space="preserve"> more flexible compared to LTE no</w:t>
      </w:r>
      <w:r w:rsidR="00094A14">
        <w:t xml:space="preserve">t only for HARQ feedback timing </w:t>
      </w:r>
      <w:r w:rsidR="00D11600">
        <w:t xml:space="preserve">but also </w:t>
      </w:r>
      <w:r w:rsidR="00094A14">
        <w:t xml:space="preserve">the physical channels for HARQ feedback transmission </w:t>
      </w:r>
      <w:r w:rsidR="00A016EB">
        <w:t xml:space="preserve">and the number of HARQ A/N bits per transport block </w:t>
      </w:r>
      <w:r w:rsidR="00094A14">
        <w:t>to match the different requirement</w:t>
      </w:r>
      <w:r w:rsidR="00345181">
        <w:t>s</w:t>
      </w:r>
      <w:r w:rsidR="00094A14">
        <w:t xml:space="preserve">, e.g. </w:t>
      </w:r>
      <w:r w:rsidR="00094A14">
        <w:lastRenderedPageBreak/>
        <w:t>slot duration, coverage</w:t>
      </w:r>
      <w:r>
        <w:t>, resource efficiency</w:t>
      </w:r>
      <w:r w:rsidR="00094A14">
        <w:t xml:space="preserve"> and reliability requirement.</w:t>
      </w:r>
      <w:r w:rsidR="001B447B">
        <w:t xml:space="preserve"> With different configurations </w:t>
      </w:r>
      <w:r w:rsidR="00D4675D">
        <w:t>per</w:t>
      </w:r>
      <w:r w:rsidR="001B447B">
        <w:t xml:space="preserve"> </w:t>
      </w:r>
      <w:r w:rsidR="00D4675D">
        <w:t>these requirement</w:t>
      </w:r>
      <w:r>
        <w:t>s</w:t>
      </w:r>
      <w:r w:rsidR="00D4675D">
        <w:t xml:space="preserve">, the transmission scheme for HARQ feedback could be very different with respect to radio resource allocation, channel encoding, error rate and delay </w:t>
      </w:r>
      <w:r w:rsidR="005864B7">
        <w:t xml:space="preserve">requirement </w:t>
      </w:r>
      <w:r w:rsidR="00D4675D">
        <w:t>in relation to the corresponding data transmission.</w:t>
      </w:r>
      <w:r w:rsidR="00094A14">
        <w:t xml:space="preserve"> </w:t>
      </w:r>
      <w:r w:rsidR="001461E5">
        <w:t xml:space="preserve">The HARQ RTT is also flexible depending on the flexibility of HARQ feedback time and the configured (long/short) PUCCH format. </w:t>
      </w:r>
    </w:p>
    <w:p w14:paraId="7573CDEE" w14:textId="6DA56C37" w:rsidR="00254775" w:rsidRDefault="00254775" w:rsidP="0033427D">
      <w:r>
        <w:t>With a more flexible HARQ protocol with multiple feedback schemes in NR, it will be challenging to keep the complexity of NR MAC at a sustainable level while still aligning to the design philosophy that one common RAN shall be able to support multiple services. Having multiple MAC entities for different services as in HSPA is not an option. It is beneficial to stick to the "single MAC design" of LTE.</w:t>
      </w:r>
      <w:r w:rsidDel="00AF2CB4">
        <w:t xml:space="preserve"> </w:t>
      </w:r>
      <w:r>
        <w:t>In LTE the difference between how HARQ feedback is transmitted in FDD and TDD is almost transparent in MAC. We think this is an important property which simplifies the models used in MAC and it should be kept in NR. Considering this, it was agreed in RAN2-97bis that ‘</w:t>
      </w:r>
      <w:r w:rsidRPr="00254775">
        <w:t>RAN2 aims to make the L1 HARQ feedback transmission scheme (PUCCH, mapped to PUSCH, timing) transparent to MAC specification</w:t>
      </w:r>
      <w:r>
        <w:t>’</w:t>
      </w:r>
      <w:r w:rsidRPr="00254775">
        <w:t>.</w:t>
      </w:r>
    </w:p>
    <w:p w14:paraId="7BD559A2" w14:textId="507D3F4A" w:rsidR="00260BB1" w:rsidRDefault="00CD45FB" w:rsidP="007C7F7E">
      <w:pPr>
        <w:pStyle w:val="Heading2"/>
      </w:pPr>
      <w:r>
        <w:t>Design i</w:t>
      </w:r>
      <w:r w:rsidR="00260BB1">
        <w:t>mpact on L2 protocols</w:t>
      </w:r>
    </w:p>
    <w:p w14:paraId="365A5C77" w14:textId="406E29A8" w:rsidR="0065200B" w:rsidRPr="00E46064" w:rsidRDefault="0054657E" w:rsidP="0065200B">
      <w:pPr>
        <w:pStyle w:val="BodyText"/>
      </w:pPr>
      <w:bookmarkStart w:id="35" w:name="_Toc471138580"/>
      <w:bookmarkStart w:id="36" w:name="_Toc471138599"/>
      <w:bookmarkStart w:id="37" w:name="_Toc471138610"/>
      <w:bookmarkEnd w:id="35"/>
      <w:bookmarkEnd w:id="36"/>
      <w:bookmarkEnd w:id="37"/>
      <w:r>
        <w:t>As discussed above,</w:t>
      </w:r>
      <w:r w:rsidR="0065200B">
        <w:t xml:space="preserve"> the HARQ feedback scheme in NR offers a great deal of flexibility</w:t>
      </w:r>
      <w:r>
        <w:t xml:space="preserve"> for HARQ feedback</w:t>
      </w:r>
      <w:r w:rsidR="0065200B">
        <w:t>. This is beneficial as it allows the network to adapt the HARQ</w:t>
      </w:r>
      <w:r>
        <w:t xml:space="preserve"> feedback</w:t>
      </w:r>
      <w:r w:rsidR="0065200B">
        <w:t xml:space="preserve"> configuration to various conditions (e.g. services and channel conditions). The drawback is that the UE must be configured with a dedicated HARQ configuration. </w:t>
      </w:r>
      <w:bookmarkStart w:id="38" w:name="_Toc465151664"/>
      <w:r w:rsidR="0065200B" w:rsidRPr="00B52918">
        <w:t xml:space="preserve">During the initial access, the UE does not have any </w:t>
      </w:r>
      <w:r w:rsidR="0065200B">
        <w:t xml:space="preserve">dedicated </w:t>
      </w:r>
      <w:r w:rsidR="0065200B" w:rsidRPr="00E46064">
        <w:t xml:space="preserve">HARQ configuration, so there must be a default HARQ </w:t>
      </w:r>
      <w:r w:rsidR="0065200B">
        <w:t>configuration</w:t>
      </w:r>
      <w:r w:rsidR="00967EAA">
        <w:t>, which can be supported by all UEs in the system,</w:t>
      </w:r>
      <w:r w:rsidR="0065200B">
        <w:t xml:space="preserve"> </w:t>
      </w:r>
      <w:r w:rsidR="0065200B" w:rsidRPr="00E46064">
        <w:t xml:space="preserve">for the UE at this stage. The HARQ configuration may include the number of HARQ processes, </w:t>
      </w:r>
      <w:r w:rsidR="00BA22E0">
        <w:t xml:space="preserve">processing delays and </w:t>
      </w:r>
      <w:r w:rsidR="0065200B" w:rsidRPr="00E46064">
        <w:t xml:space="preserve">the </w:t>
      </w:r>
      <w:r w:rsidR="00BA22E0">
        <w:t xml:space="preserve">HARQ </w:t>
      </w:r>
      <w:r w:rsidR="0065200B" w:rsidRPr="00E46064">
        <w:t>feedback scheme etc. Then at a late</w:t>
      </w:r>
      <w:r w:rsidR="0065200B" w:rsidRPr="00B52918">
        <w:t xml:space="preserve">r stage, </w:t>
      </w:r>
      <w:r w:rsidR="0065200B">
        <w:t>the eNB</w:t>
      </w:r>
      <w:r w:rsidR="0065200B" w:rsidRPr="00E46064">
        <w:t xml:space="preserve"> could configure a dedicated HARQ configuration for the UE based on e.g. the system status and service QoS requirement.</w:t>
      </w:r>
      <w:bookmarkEnd w:id="38"/>
      <w:r w:rsidR="0065200B" w:rsidRPr="00E46064">
        <w:t xml:space="preserve"> </w:t>
      </w:r>
    </w:p>
    <w:p w14:paraId="5CB6B3A8" w14:textId="1CEAE0C4" w:rsidR="0062064D" w:rsidRPr="009D2531" w:rsidRDefault="0062064D" w:rsidP="003F629C">
      <w:pPr>
        <w:pStyle w:val="Proposal"/>
        <w:rPr>
          <w:color w:val="000000" w:themeColor="text1"/>
        </w:rPr>
      </w:pPr>
      <w:bookmarkStart w:id="39" w:name="_Toc465151666"/>
      <w:bookmarkStart w:id="40" w:name="_Toc466041472"/>
      <w:bookmarkStart w:id="41" w:name="_Toc471138582"/>
      <w:bookmarkStart w:id="42" w:name="_Toc471138601"/>
      <w:bookmarkStart w:id="43" w:name="_Toc471138612"/>
      <w:bookmarkStart w:id="44" w:name="_Toc471478740"/>
      <w:bookmarkStart w:id="45" w:name="_Toc481867300"/>
      <w:r w:rsidRPr="009D2531">
        <w:rPr>
          <w:color w:val="000000" w:themeColor="text1"/>
        </w:rPr>
        <w:t>Default HARQ configuration</w:t>
      </w:r>
      <w:r w:rsidR="00E14253">
        <w:rPr>
          <w:color w:val="000000" w:themeColor="text1"/>
        </w:rPr>
        <w:t xml:space="preserve"> (including e.g. </w:t>
      </w:r>
      <w:r w:rsidR="00CE193E">
        <w:rPr>
          <w:color w:val="000000" w:themeColor="text1"/>
        </w:rPr>
        <w:t xml:space="preserve">number of HARQ </w:t>
      </w:r>
      <w:r w:rsidR="00E14253">
        <w:rPr>
          <w:color w:val="000000" w:themeColor="text1"/>
        </w:rPr>
        <w:t>process</w:t>
      </w:r>
      <w:r w:rsidR="00CE193E">
        <w:rPr>
          <w:color w:val="000000" w:themeColor="text1"/>
        </w:rPr>
        <w:t>es and</w:t>
      </w:r>
      <w:r w:rsidR="00E14253">
        <w:rPr>
          <w:color w:val="000000" w:themeColor="text1"/>
        </w:rPr>
        <w:t xml:space="preserve"> ID(s), delays, feedback scheme)</w:t>
      </w:r>
      <w:r w:rsidRPr="009D2531">
        <w:rPr>
          <w:color w:val="000000" w:themeColor="text1"/>
        </w:rPr>
        <w:t>, which can be supported by all UEs, should be predefined for random access procedure</w:t>
      </w:r>
      <w:r w:rsidR="0033427D">
        <w:rPr>
          <w:color w:val="000000" w:themeColor="text1"/>
        </w:rPr>
        <w:t xml:space="preserve"> for those cases when the parameters cannot be configured in the UE (e.g. random access in idle mode)</w:t>
      </w:r>
      <w:r w:rsidRPr="009D2531">
        <w:rPr>
          <w:color w:val="000000" w:themeColor="text1"/>
        </w:rPr>
        <w:t>.</w:t>
      </w:r>
      <w:bookmarkEnd w:id="45"/>
    </w:p>
    <w:p w14:paraId="1B1F8BA6" w14:textId="227CAAD4" w:rsidR="0065200B" w:rsidRPr="00E26F73" w:rsidRDefault="0065200B" w:rsidP="00E26F73">
      <w:pPr>
        <w:pStyle w:val="Proposal"/>
      </w:pPr>
      <w:bookmarkStart w:id="46" w:name="_Toc481867301"/>
      <w:r w:rsidRPr="00E26F73">
        <w:t xml:space="preserve">RRC supports configuration of HARQ </w:t>
      </w:r>
      <w:r w:rsidR="00C73AB8" w:rsidRPr="00E26F73">
        <w:t>param</w:t>
      </w:r>
      <w:r w:rsidR="00D966F7" w:rsidRPr="00E26F73">
        <w:t>e</w:t>
      </w:r>
      <w:r w:rsidR="00C73AB8" w:rsidRPr="00E26F73">
        <w:t xml:space="preserve">ters </w:t>
      </w:r>
      <w:r w:rsidRPr="00E26F73">
        <w:t>through dedicated signalling.</w:t>
      </w:r>
      <w:bookmarkEnd w:id="39"/>
      <w:bookmarkEnd w:id="40"/>
      <w:bookmarkEnd w:id="41"/>
      <w:bookmarkEnd w:id="42"/>
      <w:bookmarkEnd w:id="43"/>
      <w:bookmarkEnd w:id="44"/>
      <w:bookmarkEnd w:id="46"/>
    </w:p>
    <w:p w14:paraId="7DD6B691" w14:textId="4EFD62AA" w:rsidR="00620AF8" w:rsidRDefault="00620AF8" w:rsidP="009D2531">
      <w:pPr>
        <w:pStyle w:val="BodyText"/>
      </w:pPr>
      <w:r>
        <w:t xml:space="preserve">In LTE, the minimum requirement of the NACK to ACK error rate is less than 0.1% for PUCCH format 3 and the minimum requirement of ACK miss rate for PUCCH format 1a, 1b and 3 is less than 1% at given SNR level </w:t>
      </w:r>
      <w:r>
        <w:fldChar w:fldCharType="begin"/>
      </w:r>
      <w:r>
        <w:instrText xml:space="preserve"> REF _Ref469565112 \r \h </w:instrText>
      </w:r>
      <w:r>
        <w:fldChar w:fldCharType="separate"/>
      </w:r>
      <w:r w:rsidR="00E622B1">
        <w:t>[4]</w:t>
      </w:r>
      <w:r>
        <w:fldChar w:fldCharType="end"/>
      </w:r>
      <w:r>
        <w:t>, which is mainly used to guide the receiver design. It is expected that RLC ARQ can handle the residual MAC error due to the HARQ feedback uncertainty.</w:t>
      </w:r>
    </w:p>
    <w:p w14:paraId="3E0C068E" w14:textId="4468798E" w:rsidR="007D080B" w:rsidRDefault="007D080B" w:rsidP="00CA4418">
      <w:pPr>
        <w:pStyle w:val="BodyText"/>
      </w:pPr>
      <w:r>
        <w:t xml:space="preserve">In NR, </w:t>
      </w:r>
      <w:r w:rsidR="008E6F53">
        <w:t xml:space="preserve">some traffic such as </w:t>
      </w:r>
      <w:r w:rsidR="008E6F53" w:rsidRPr="00CA4418">
        <w:t>URLLC</w:t>
      </w:r>
      <w:r w:rsidR="008E6F53">
        <w:t xml:space="preserve"> is</w:t>
      </w:r>
      <w:r>
        <w:t xml:space="preserve"> very delay sensitive </w:t>
      </w:r>
      <w:r w:rsidR="001A0206">
        <w:t>which implies that</w:t>
      </w:r>
      <w:r w:rsidR="00CA4418" w:rsidRPr="00CA4418">
        <w:t xml:space="preserve"> RLC retransmission may not be always </w:t>
      </w:r>
      <w:r w:rsidR="001A0206">
        <w:t>useful</w:t>
      </w:r>
      <w:r w:rsidR="00CA4418" w:rsidRPr="00CA4418">
        <w:t xml:space="preserve"> due to the tight delay budget. The packet loss rate mainly depends on the residual transmission</w:t>
      </w:r>
      <w:r w:rsidR="008E6F53">
        <w:t xml:space="preserve"> error</w:t>
      </w:r>
      <w:r w:rsidR="00CA4418" w:rsidRPr="00CA4418">
        <w:t xml:space="preserve"> in MAC layer</w:t>
      </w:r>
      <w:r w:rsidR="00651432">
        <w:t xml:space="preserve"> due to RLC ARQ is not applicable </w:t>
      </w:r>
      <w:r w:rsidR="008A0B94">
        <w:t>considering</w:t>
      </w:r>
      <w:r w:rsidR="00651432">
        <w:t xml:space="preserve"> the </w:t>
      </w:r>
      <w:r w:rsidR="008A0B94">
        <w:t xml:space="preserve">tight </w:t>
      </w:r>
      <w:r w:rsidR="00651432">
        <w:t>delay budget</w:t>
      </w:r>
      <w:r w:rsidR="00CA4418" w:rsidRPr="00CA4418">
        <w:t xml:space="preserve">. </w:t>
      </w:r>
      <w:r w:rsidR="00CA4418">
        <w:t>This means that the reliability of HARQ feedback may directly impact the residual MAC transmission error. For instance, the NACK to ACK error will directly increase the residual MAC transmission error.</w:t>
      </w:r>
      <w:r>
        <w:t xml:space="preserve"> </w:t>
      </w:r>
      <w:r w:rsidR="00620AF8">
        <w:t xml:space="preserve">HARQ NACK to ACK error will be a bottleneck for residual MAC transmission error, for instance, the residual MAC transmission error will be not lower than 10^-3 (far higher than 10^-6~10^-9) if the HARQ NACK to ACK error is 0.1%. </w:t>
      </w:r>
      <w:r w:rsidR="00576261">
        <w:t>Based on the above analysis, extremely reliable HARQ A/N feedback must be considered for URLLC traffic at the cost of overhead increase.</w:t>
      </w:r>
    </w:p>
    <w:p w14:paraId="5B957DD1" w14:textId="56FC1F99" w:rsidR="00CA4418" w:rsidRDefault="005A44A0" w:rsidP="00CA4418">
      <w:pPr>
        <w:pStyle w:val="BodyText"/>
      </w:pPr>
      <w:r>
        <w:t xml:space="preserve">For services whose data reliability can rely on the RLC ARQ, normal reliable HARQ feedback can be configured to avoid the HARQ feedback overhead increase. The design of normal reliable HARQ feedback can refer to the UCI design in LTE with proper enhancement considering the special characteristics of NR such as frequency and radio frame structure etc. </w:t>
      </w:r>
      <w:r w:rsidR="002B4E08">
        <w:t xml:space="preserve">For services requiring high transmission reliability in MAC, extremely high reliable HARQ feedback should be considered. </w:t>
      </w:r>
      <w:r>
        <w:t xml:space="preserve">For </w:t>
      </w:r>
      <w:r w:rsidR="0023040C">
        <w:t>extreme</w:t>
      </w:r>
      <w:r w:rsidR="002B4E08">
        <w:t>ly</w:t>
      </w:r>
      <w:r w:rsidR="0023040C">
        <w:t xml:space="preserve"> high reliable HARQ feedback design, one could consider certain enhancement </w:t>
      </w:r>
      <w:r w:rsidR="002B4E08">
        <w:t>by referring to the</w:t>
      </w:r>
      <w:r w:rsidR="0023040C">
        <w:t xml:space="preserve"> normal reliable HARQ feedback design to reduce the complexity of system design, e.g. repetition, long sequence</w:t>
      </w:r>
      <w:r w:rsidR="002B4E08">
        <w:t xml:space="preserve"> for HARQ A/N encoding</w:t>
      </w:r>
      <w:r w:rsidR="0023040C">
        <w:t xml:space="preserve">, CRC encoding, and </w:t>
      </w:r>
      <w:r w:rsidR="002B4E08">
        <w:t>very low</w:t>
      </w:r>
      <w:r w:rsidR="0023040C">
        <w:t xml:space="preserve"> coding rate etc.</w:t>
      </w:r>
      <w:r w:rsidR="00576261">
        <w:t xml:space="preserve"> </w:t>
      </w:r>
    </w:p>
    <w:p w14:paraId="2701149D" w14:textId="0E1FD2A8" w:rsidR="00E14253" w:rsidRDefault="00E14253" w:rsidP="00704F13">
      <w:pPr>
        <w:pStyle w:val="Proposal"/>
      </w:pPr>
      <w:bookmarkStart w:id="47" w:name="_Toc481867302"/>
      <w:r>
        <w:t>RAN2 aims to design HARQ such that it can be operated in a mode with high reliability (for e.g. URLLC). Details can be left for RAN1.</w:t>
      </w:r>
      <w:bookmarkEnd w:id="47"/>
    </w:p>
    <w:p w14:paraId="7E690B51" w14:textId="77777777" w:rsidR="00C01F33" w:rsidRPr="00CE0424" w:rsidRDefault="00C01F33" w:rsidP="00CE0424">
      <w:pPr>
        <w:pStyle w:val="Heading1"/>
      </w:pPr>
      <w:r w:rsidRPr="00CE0424">
        <w:lastRenderedPageBreak/>
        <w:t>Conclusion</w:t>
      </w:r>
    </w:p>
    <w:p w14:paraId="6816B770" w14:textId="466077C3" w:rsidR="00AF2CB4" w:rsidRDefault="008E065E">
      <w:pPr>
        <w:pStyle w:val="TOC1"/>
        <w:rPr>
          <w:b w:val="0"/>
        </w:rPr>
      </w:pPr>
      <w:r w:rsidRPr="00E63F9C">
        <w:rPr>
          <w:b w:val="0"/>
        </w:rPr>
        <w:t xml:space="preserve">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AF2CB4">
        <w:rPr>
          <w:b w:val="0"/>
          <w:highlight w:val="cyan"/>
        </w:rPr>
        <w:instrText xml:space="preserve"> \* MERGEFORMAT </w:instrText>
      </w:r>
      <w:r w:rsidRPr="00E63F9C">
        <w:rPr>
          <w:b w:val="0"/>
          <w:highlight w:val="cyan"/>
        </w:rPr>
      </w:r>
      <w:r w:rsidRPr="00E63F9C">
        <w:rPr>
          <w:b w:val="0"/>
          <w:highlight w:val="cyan"/>
        </w:rPr>
        <w:fldChar w:fldCharType="separate"/>
      </w:r>
      <w:r w:rsidR="00E622B1">
        <w:rPr>
          <w:b w:val="0"/>
        </w:rPr>
        <w:t>2</w:t>
      </w:r>
      <w:r w:rsidRPr="00E63F9C">
        <w:rPr>
          <w:b w:val="0"/>
          <w:highlight w:val="cyan"/>
        </w:rPr>
        <w:fldChar w:fldCharType="end"/>
      </w:r>
      <w:r w:rsidRPr="00E63F9C">
        <w:rPr>
          <w:b w:val="0"/>
        </w:rPr>
        <w:t xml:space="preserve"> we made the follow</w:t>
      </w:r>
      <w:bookmarkStart w:id="48" w:name="_GoBack"/>
      <w:bookmarkEnd w:id="48"/>
      <w:r w:rsidRPr="00E63F9C">
        <w:rPr>
          <w:b w:val="0"/>
        </w:rPr>
        <w:t>ing observations:</w:t>
      </w:r>
    </w:p>
    <w:sdt>
      <w:sdtPr>
        <w:rPr>
          <w:b w:val="0"/>
          <w:noProof w:val="0"/>
          <w:szCs w:val="20"/>
          <w:lang w:val="en-GB"/>
        </w:rPr>
        <w:id w:val="588665026"/>
        <w:docPartObj>
          <w:docPartGallery w:val="Table of Contents"/>
          <w:docPartUnique/>
        </w:docPartObj>
      </w:sdtPr>
      <w:sdtEndPr/>
      <w:sdtContent>
        <w:p w14:paraId="13AF79F7" w14:textId="77777777" w:rsidR="00FF5969" w:rsidRDefault="00677F0F">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1867297" w:history="1">
            <w:r w:rsidR="00FF5969" w:rsidRPr="00B4124C">
              <w:rPr>
                <w:rStyle w:val="Hyperlink"/>
              </w:rPr>
              <w:t>Observation 1</w:t>
            </w:r>
            <w:r w:rsidR="00FF5969">
              <w:rPr>
                <w:rFonts w:asciiTheme="minorHAnsi" w:eastAsiaTheme="minorEastAsia" w:hAnsiTheme="minorHAnsi" w:cstheme="minorBidi"/>
                <w:b w:val="0"/>
                <w:sz w:val="22"/>
                <w:lang w:val="sv-SE"/>
              </w:rPr>
              <w:tab/>
            </w:r>
            <w:r w:rsidR="00FF5969" w:rsidRPr="00B4124C">
              <w:rPr>
                <w:rStyle w:val="Hyperlink"/>
              </w:rPr>
              <w:t>Compared to HARQ feedback in LTE, the HARQ feedback timing for NR is more flexible.</w:t>
            </w:r>
          </w:hyperlink>
        </w:p>
        <w:p w14:paraId="4DE6B4F9" w14:textId="77777777" w:rsidR="00FF5969" w:rsidRDefault="00FF5969">
          <w:pPr>
            <w:pStyle w:val="TOC1"/>
            <w:rPr>
              <w:rFonts w:asciiTheme="minorHAnsi" w:eastAsiaTheme="minorEastAsia" w:hAnsiTheme="minorHAnsi" w:cstheme="minorBidi"/>
              <w:b w:val="0"/>
              <w:sz w:val="22"/>
              <w:lang w:val="sv-SE"/>
            </w:rPr>
          </w:pPr>
          <w:hyperlink w:anchor="_Toc481867298" w:history="1">
            <w:r w:rsidRPr="00B4124C">
              <w:rPr>
                <w:rStyle w:val="Hyperlink"/>
              </w:rPr>
              <w:t>Observation 2</w:t>
            </w:r>
            <w:r>
              <w:rPr>
                <w:rFonts w:asciiTheme="minorHAnsi" w:eastAsiaTheme="minorEastAsia" w:hAnsiTheme="minorHAnsi" w:cstheme="minorBidi"/>
                <w:b w:val="0"/>
                <w:sz w:val="22"/>
                <w:lang w:val="sv-SE"/>
              </w:rPr>
              <w:tab/>
            </w:r>
            <w:r w:rsidRPr="00B4124C">
              <w:rPr>
                <w:rStyle w:val="Hyperlink"/>
              </w:rPr>
              <w:t>Compared to LTE, both long and short PUCCH formats will be supported for different application cases.</w:t>
            </w:r>
          </w:hyperlink>
        </w:p>
        <w:p w14:paraId="26B98FCC" w14:textId="77777777" w:rsidR="00FF5969" w:rsidRDefault="00FF5969">
          <w:pPr>
            <w:pStyle w:val="TOC1"/>
            <w:rPr>
              <w:rFonts w:asciiTheme="minorHAnsi" w:eastAsiaTheme="minorEastAsia" w:hAnsiTheme="minorHAnsi" w:cstheme="minorBidi"/>
              <w:b w:val="0"/>
              <w:sz w:val="22"/>
              <w:lang w:val="sv-SE"/>
            </w:rPr>
          </w:pPr>
          <w:hyperlink w:anchor="_Toc481867299" w:history="1">
            <w:r w:rsidRPr="00B4124C">
              <w:rPr>
                <w:rStyle w:val="Hyperlink"/>
              </w:rPr>
              <w:t>Observation 3</w:t>
            </w:r>
            <w:r>
              <w:rPr>
                <w:rFonts w:asciiTheme="minorHAnsi" w:eastAsiaTheme="minorEastAsia" w:hAnsiTheme="minorHAnsi" w:cstheme="minorBidi"/>
                <w:b w:val="0"/>
                <w:sz w:val="22"/>
                <w:lang w:val="sv-SE"/>
              </w:rPr>
              <w:tab/>
            </w:r>
            <w:r w:rsidRPr="00B4124C">
              <w:rPr>
                <w:rStyle w:val="Hyperlink"/>
              </w:rPr>
              <w:t>In addition to single HARQ A/N bit per transport block as LTE, NR also supports multiple HARQ A/N bits per transport block.</w:t>
            </w:r>
          </w:hyperlink>
        </w:p>
        <w:p w14:paraId="747B428D" w14:textId="2B23B3A5" w:rsidR="00677F0F" w:rsidRPr="00E63F9C" w:rsidRDefault="00677F0F">
          <w:pPr>
            <w:pStyle w:val="TOC1"/>
            <w:rPr>
              <w:b w:val="0"/>
            </w:rPr>
          </w:pPr>
          <w:r>
            <w:rPr>
              <w:b w:val="0"/>
              <w:noProof w:val="0"/>
              <w:szCs w:val="20"/>
              <w:lang w:val="en-GB"/>
            </w:rPr>
            <w:fldChar w:fldCharType="end"/>
          </w:r>
        </w:p>
      </w:sdtContent>
    </w:sdt>
    <w:p w14:paraId="6E2D6B4D" w14:textId="23FFC939" w:rsidR="00E26F73" w:rsidRDefault="008E065E">
      <w:pPr>
        <w:pStyle w:val="TOC1"/>
        <w:rPr>
          <w:b w:val="0"/>
        </w:rPr>
      </w:pPr>
      <w:r w:rsidRPr="00E63F9C">
        <w:rPr>
          <w:b w:val="0"/>
        </w:rPr>
        <w:t xml:space="preserve">Based on the discussion 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E26F73">
        <w:rPr>
          <w:b w:val="0"/>
          <w:highlight w:val="cyan"/>
        </w:rPr>
        <w:instrText xml:space="preserve"> \* MERGEFORMAT </w:instrText>
      </w:r>
      <w:r w:rsidRPr="00E63F9C">
        <w:rPr>
          <w:b w:val="0"/>
          <w:highlight w:val="cyan"/>
        </w:rPr>
      </w:r>
      <w:r w:rsidRPr="00E63F9C">
        <w:rPr>
          <w:b w:val="0"/>
          <w:highlight w:val="cyan"/>
        </w:rPr>
        <w:fldChar w:fldCharType="separate"/>
      </w:r>
      <w:r w:rsidR="00E622B1">
        <w:rPr>
          <w:b w:val="0"/>
        </w:rPr>
        <w:t>2</w:t>
      </w:r>
      <w:r w:rsidRPr="00E63F9C">
        <w:rPr>
          <w:b w:val="0"/>
          <w:highlight w:val="cyan"/>
        </w:rPr>
        <w:fldChar w:fldCharType="end"/>
      </w:r>
      <w:r w:rsidRPr="00E63F9C">
        <w:rPr>
          <w:b w:val="0"/>
        </w:rPr>
        <w:t xml:space="preserve"> we propose the following:</w:t>
      </w:r>
    </w:p>
    <w:bookmarkStart w:id="49" w:name="_Toc471138584" w:displacedByCustomXml="next"/>
    <w:bookmarkEnd w:id="49" w:displacedByCustomXml="next"/>
    <w:bookmarkStart w:id="50" w:name="_Toc471138603" w:displacedByCustomXml="next"/>
    <w:bookmarkEnd w:id="50" w:displacedByCustomXml="next"/>
    <w:bookmarkStart w:id="51" w:name="_In-sequence_SDU_delivery" w:displacedByCustomXml="next"/>
    <w:bookmarkEnd w:id="51" w:displacedByCustomXml="next"/>
    <w:sdt>
      <w:sdtPr>
        <w:rPr>
          <w:b w:val="0"/>
          <w:noProof w:val="0"/>
          <w:szCs w:val="20"/>
          <w:lang w:val="en-GB"/>
        </w:rPr>
        <w:id w:val="-1610964129"/>
        <w:docPartObj>
          <w:docPartGallery w:val="Table of Contents"/>
          <w:docPartUnique/>
        </w:docPartObj>
      </w:sdtPr>
      <w:sdtEndPr/>
      <w:sdtContent>
        <w:p w14:paraId="467235A6" w14:textId="77777777" w:rsidR="00FF5969" w:rsidRDefault="00677F0F">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81867300" w:history="1">
            <w:r w:rsidR="00FF5969" w:rsidRPr="00973FCA">
              <w:rPr>
                <w:rStyle w:val="Hyperlink"/>
              </w:rPr>
              <w:t>Proposal 1</w:t>
            </w:r>
            <w:r w:rsidR="00FF5969">
              <w:rPr>
                <w:rFonts w:asciiTheme="minorHAnsi" w:eastAsiaTheme="minorEastAsia" w:hAnsiTheme="minorHAnsi" w:cstheme="minorBidi"/>
                <w:b w:val="0"/>
                <w:sz w:val="22"/>
                <w:lang w:val="sv-SE"/>
              </w:rPr>
              <w:tab/>
            </w:r>
            <w:r w:rsidR="00FF5969" w:rsidRPr="00973FCA">
              <w:rPr>
                <w:rStyle w:val="Hyperlink"/>
              </w:rPr>
              <w:t>Default HARQ configuration (including e.g. number of HARQ processes and ID(s), delays, feedback scheme), which can be supported by all UEs, should be predefined for random access procedure for those cases when the parameters cannot be configured in the UE (e.g. random access in idle mode).</w:t>
            </w:r>
          </w:hyperlink>
        </w:p>
        <w:p w14:paraId="26810C9B" w14:textId="77777777" w:rsidR="00FF5969" w:rsidRDefault="00FF5969">
          <w:pPr>
            <w:pStyle w:val="TOC1"/>
            <w:rPr>
              <w:rFonts w:asciiTheme="minorHAnsi" w:eastAsiaTheme="minorEastAsia" w:hAnsiTheme="minorHAnsi" w:cstheme="minorBidi"/>
              <w:b w:val="0"/>
              <w:sz w:val="22"/>
              <w:lang w:val="sv-SE"/>
            </w:rPr>
          </w:pPr>
          <w:hyperlink w:anchor="_Toc481867301" w:history="1">
            <w:r w:rsidRPr="00973FCA">
              <w:rPr>
                <w:rStyle w:val="Hyperlink"/>
              </w:rPr>
              <w:t>Proposal 2</w:t>
            </w:r>
            <w:r>
              <w:rPr>
                <w:rFonts w:asciiTheme="minorHAnsi" w:eastAsiaTheme="minorEastAsia" w:hAnsiTheme="minorHAnsi" w:cstheme="minorBidi"/>
                <w:b w:val="0"/>
                <w:sz w:val="22"/>
                <w:lang w:val="sv-SE"/>
              </w:rPr>
              <w:tab/>
            </w:r>
            <w:r w:rsidRPr="00973FCA">
              <w:rPr>
                <w:rStyle w:val="Hyperlink"/>
              </w:rPr>
              <w:t>RRC supports configuration of HARQ parameters through dedicated signalling.</w:t>
            </w:r>
          </w:hyperlink>
        </w:p>
        <w:p w14:paraId="3FCD4DFB" w14:textId="77777777" w:rsidR="00FF5969" w:rsidRDefault="00FF5969">
          <w:pPr>
            <w:pStyle w:val="TOC1"/>
            <w:rPr>
              <w:rFonts w:asciiTheme="minorHAnsi" w:eastAsiaTheme="minorEastAsia" w:hAnsiTheme="minorHAnsi" w:cstheme="minorBidi"/>
              <w:b w:val="0"/>
              <w:sz w:val="22"/>
              <w:lang w:val="sv-SE"/>
            </w:rPr>
          </w:pPr>
          <w:hyperlink w:anchor="_Toc481867302" w:history="1">
            <w:r w:rsidRPr="00973FCA">
              <w:rPr>
                <w:rStyle w:val="Hyperlink"/>
              </w:rPr>
              <w:t>Proposal 3</w:t>
            </w:r>
            <w:r>
              <w:rPr>
                <w:rFonts w:asciiTheme="minorHAnsi" w:eastAsiaTheme="minorEastAsia" w:hAnsiTheme="minorHAnsi" w:cstheme="minorBidi"/>
                <w:b w:val="0"/>
                <w:sz w:val="22"/>
                <w:lang w:val="sv-SE"/>
              </w:rPr>
              <w:tab/>
            </w:r>
            <w:r w:rsidRPr="00973FCA">
              <w:rPr>
                <w:rStyle w:val="Hyperlink"/>
              </w:rPr>
              <w:t>RAN2 aims to design HARQ such that it can be operated in a mode with high reliability (for e.g. URLLC). Details can be left for RAN1.</w:t>
            </w:r>
          </w:hyperlink>
        </w:p>
        <w:p w14:paraId="51C6CA77" w14:textId="50396F5D" w:rsidR="00677F0F" w:rsidRPr="00704F13" w:rsidRDefault="00677F0F" w:rsidP="00677F0F">
          <w:pPr>
            <w:pStyle w:val="BodyText"/>
          </w:pPr>
          <w:r>
            <w:fldChar w:fldCharType="end"/>
          </w:r>
        </w:p>
      </w:sdtContent>
    </w:sdt>
    <w:p w14:paraId="4C9431F6" w14:textId="7AE22C34" w:rsidR="00F507D1" w:rsidRPr="00677F0F" w:rsidRDefault="00F507D1" w:rsidP="00677F0F">
      <w:pPr>
        <w:pStyle w:val="Heading1"/>
      </w:pPr>
      <w:r w:rsidRPr="00677F0F">
        <w:t>References</w:t>
      </w:r>
    </w:p>
    <w:p w14:paraId="5AF35587" w14:textId="6C6B4D11" w:rsidR="004D02F4" w:rsidRPr="00704F13" w:rsidRDefault="00254775" w:rsidP="004D02F4">
      <w:pPr>
        <w:pStyle w:val="Reference"/>
      </w:pPr>
      <w:bookmarkStart w:id="52" w:name="_Ref477784733"/>
      <w:bookmarkStart w:id="53" w:name="_Ref477784354"/>
      <w:bookmarkStart w:id="54" w:name="_Ref468872835"/>
      <w:bookmarkStart w:id="55" w:name="_Ref174151459"/>
      <w:bookmarkStart w:id="56" w:name="_Ref189809556"/>
      <w:r w:rsidRPr="00704F13">
        <w:t>R2-1702650</w:t>
      </w:r>
      <w:r w:rsidR="004D02F4" w:rsidRPr="00704F13">
        <w:t>, HARQ feedback transmission schemes for NR, 3GPP TSG RAN2 WG2 Meeting #96</w:t>
      </w:r>
      <w:bookmarkEnd w:id="52"/>
      <w:r w:rsidR="004D02F4" w:rsidRPr="00704F13">
        <w:t xml:space="preserve"> </w:t>
      </w:r>
    </w:p>
    <w:p w14:paraId="0F62A00C" w14:textId="3EC93E44" w:rsidR="00A91036" w:rsidRPr="00704F13" w:rsidRDefault="00A91036" w:rsidP="00A91036">
      <w:pPr>
        <w:pStyle w:val="Reference"/>
      </w:pPr>
      <w:bookmarkStart w:id="57" w:name="_Ref477784800"/>
      <w:bookmarkStart w:id="58" w:name="_Ref477790503"/>
      <w:r w:rsidRPr="00704F13">
        <w:t xml:space="preserve">3GPP TR 38.802-200 </w:t>
      </w:r>
      <w:r w:rsidRPr="00704F13">
        <w:rPr>
          <w:rFonts w:eastAsia="MS Mincho"/>
        </w:rPr>
        <w:t>Physical Layer Aspects</w:t>
      </w:r>
      <w:bookmarkEnd w:id="53"/>
      <w:bookmarkEnd w:id="57"/>
      <w:r w:rsidR="0015418D" w:rsidRPr="00704F13">
        <w:rPr>
          <w:rFonts w:eastAsia="MS Mincho"/>
        </w:rPr>
        <w:t>, Section 6.2.1, 6.2.2</w:t>
      </w:r>
      <w:bookmarkEnd w:id="58"/>
    </w:p>
    <w:p w14:paraId="4D893164" w14:textId="726F9443" w:rsidR="00A91036" w:rsidRPr="00704F13" w:rsidRDefault="00C0763B" w:rsidP="006C093C">
      <w:pPr>
        <w:pStyle w:val="Reference"/>
      </w:pPr>
      <w:bookmarkStart w:id="59" w:name="_Ref477788860"/>
      <w:r w:rsidRPr="00704F13">
        <w:t>3GPP TR 38.804 V</w:t>
      </w:r>
      <w:r w:rsidRPr="00704F13">
        <w:rPr>
          <w:rFonts w:hint="eastAsia"/>
        </w:rPr>
        <w:t>1</w:t>
      </w:r>
      <w:r w:rsidRPr="00704F13">
        <w:t>.</w:t>
      </w:r>
      <w:r w:rsidRPr="00704F13">
        <w:rPr>
          <w:rFonts w:hint="eastAsia"/>
        </w:rPr>
        <w:t>0</w:t>
      </w:r>
      <w:r w:rsidRPr="00704F13">
        <w:t>.</w:t>
      </w:r>
      <w:r w:rsidRPr="00704F13">
        <w:rPr>
          <w:rFonts w:hint="eastAsia"/>
        </w:rPr>
        <w:t>0</w:t>
      </w:r>
      <w:r w:rsidRPr="00704F13">
        <w:t xml:space="preserve">, </w:t>
      </w:r>
      <w:r w:rsidRPr="00704F13">
        <w:rPr>
          <w:rFonts w:hint="eastAsia"/>
        </w:rPr>
        <w:t>Radio Interface</w:t>
      </w:r>
      <w:r w:rsidRPr="00704F13">
        <w:t xml:space="preserve"> Protocol Aspect</w:t>
      </w:r>
      <w:r w:rsidRPr="00704F13">
        <w:rPr>
          <w:rFonts w:hint="eastAsia"/>
        </w:rPr>
        <w:t>s</w:t>
      </w:r>
      <w:bookmarkEnd w:id="59"/>
    </w:p>
    <w:p w14:paraId="32D09070" w14:textId="6C654736" w:rsidR="0057739B" w:rsidRPr="00704F13" w:rsidRDefault="00331576" w:rsidP="00CD45FB">
      <w:pPr>
        <w:pStyle w:val="Reference"/>
      </w:pPr>
      <w:bookmarkStart w:id="60" w:name="_Ref468872966"/>
      <w:bookmarkStart w:id="61" w:name="_Ref469565112"/>
      <w:bookmarkEnd w:id="54"/>
      <w:bookmarkEnd w:id="55"/>
      <w:bookmarkEnd w:id="56"/>
      <w:bookmarkEnd w:id="60"/>
      <w:r w:rsidRPr="00704F13">
        <w:t xml:space="preserve">3GPP TS </w:t>
      </w:r>
      <w:r w:rsidR="0057739B" w:rsidRPr="00704F13">
        <w:t>36.104-b00, Base Station (BS) radio transmission and reception, Section 8.3.7.1</w:t>
      </w:r>
      <w:bookmarkEnd w:id="61"/>
    </w:p>
    <w:p w14:paraId="0469CF88" w14:textId="05964A02" w:rsidR="00AD37C6" w:rsidRPr="00704F13" w:rsidRDefault="00AD37C6" w:rsidP="00CD45FB">
      <w:pPr>
        <w:pStyle w:val="Reference"/>
      </w:pPr>
      <w:bookmarkStart w:id="62" w:name="_Ref481672360"/>
      <w:r w:rsidRPr="00704F13">
        <w:t>R2-17</w:t>
      </w:r>
      <w:r w:rsidR="00704F13" w:rsidRPr="00704F13">
        <w:t>04683</w:t>
      </w:r>
      <w:r w:rsidRPr="00704F13">
        <w:t xml:space="preserve">, </w:t>
      </w:r>
      <w:r w:rsidR="00704F13">
        <w:t>"</w:t>
      </w:r>
      <w:r w:rsidRPr="00704F13">
        <w:t>On general HARQ aspects of SPS UL</w:t>
      </w:r>
      <w:r w:rsidR="00704F13">
        <w:t>"</w:t>
      </w:r>
      <w:r w:rsidRPr="00704F13">
        <w:t>, Ericsson</w:t>
      </w:r>
      <w:bookmarkEnd w:id="62"/>
    </w:p>
    <w:p w14:paraId="76286B50" w14:textId="22D7E023" w:rsidR="00E5601A" w:rsidRPr="00704F13" w:rsidRDefault="00E5601A" w:rsidP="00704F13">
      <w:pPr>
        <w:pStyle w:val="Reference"/>
        <w:numPr>
          <w:ilvl w:val="0"/>
          <w:numId w:val="0"/>
        </w:numPr>
        <w:ind w:left="567"/>
      </w:pPr>
    </w:p>
    <w:sectPr w:rsidR="00E5601A" w:rsidRPr="00704F1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27814" w14:textId="77777777" w:rsidR="00B062C4" w:rsidRDefault="00B062C4">
      <w:r>
        <w:separator/>
      </w:r>
    </w:p>
  </w:endnote>
  <w:endnote w:type="continuationSeparator" w:id="0">
    <w:p w14:paraId="004C63D1" w14:textId="77777777" w:rsidR="00B062C4" w:rsidRDefault="00B0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1529" w14:textId="77777777" w:rsidR="00112274" w:rsidRDefault="00112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86562F1" w:rsidR="003F629C" w:rsidRDefault="003F62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227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2274">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55CF" w14:textId="77777777" w:rsidR="00112274" w:rsidRDefault="00112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97D8C" w14:textId="77777777" w:rsidR="00B062C4" w:rsidRDefault="00B062C4">
      <w:r>
        <w:separator/>
      </w:r>
    </w:p>
  </w:footnote>
  <w:footnote w:type="continuationSeparator" w:id="0">
    <w:p w14:paraId="76691964" w14:textId="77777777" w:rsidR="00B062C4" w:rsidRDefault="00B06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F629C" w:rsidRDefault="003F629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C96FB" w14:textId="77777777" w:rsidR="00112274" w:rsidRDefault="00112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F2CAE" w14:textId="77777777" w:rsidR="00112274" w:rsidRDefault="00112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8261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02F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563980"/>
    <w:lvl w:ilvl="0">
      <w:start w:val="1"/>
      <w:numFmt w:val="decimal"/>
      <w:lvlText w:val="%1."/>
      <w:lvlJc w:val="left"/>
      <w:pPr>
        <w:tabs>
          <w:tab w:val="num" w:pos="926"/>
        </w:tabs>
        <w:ind w:left="926" w:hanging="360"/>
      </w:pPr>
    </w:lvl>
  </w:abstractNum>
  <w:abstractNum w:abstractNumId="3" w15:restartNumberingAfterBreak="0">
    <w:nsid w:val="00FF73D3"/>
    <w:multiLevelType w:val="hybridMultilevel"/>
    <w:tmpl w:val="F1340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747018"/>
    <w:multiLevelType w:val="hybridMultilevel"/>
    <w:tmpl w:val="3702B8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BCA5B95"/>
    <w:multiLevelType w:val="hybridMultilevel"/>
    <w:tmpl w:val="7E5E5E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E21144D"/>
    <w:multiLevelType w:val="hybridMultilevel"/>
    <w:tmpl w:val="F4B2E6C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FA824B8"/>
    <w:multiLevelType w:val="hybridMultilevel"/>
    <w:tmpl w:val="21DA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645EE"/>
    <w:multiLevelType w:val="hybridMultilevel"/>
    <w:tmpl w:val="0A84D1EE"/>
    <w:lvl w:ilvl="0" w:tplc="243EC72A">
      <w:start w:val="1"/>
      <w:numFmt w:val="bullet"/>
      <w:lvlText w:val="›"/>
      <w:lvlJc w:val="left"/>
      <w:pPr>
        <w:tabs>
          <w:tab w:val="num" w:pos="720"/>
        </w:tabs>
        <w:ind w:left="720" w:hanging="360"/>
      </w:pPr>
      <w:rPr>
        <w:rFonts w:ascii="Arial" w:hAnsi="Arial" w:hint="default"/>
      </w:rPr>
    </w:lvl>
    <w:lvl w:ilvl="1" w:tplc="13ECCA90">
      <w:numFmt w:val="bullet"/>
      <w:lvlText w:val="–"/>
      <w:lvlJc w:val="left"/>
      <w:pPr>
        <w:tabs>
          <w:tab w:val="num" w:pos="1440"/>
        </w:tabs>
        <w:ind w:left="1440" w:hanging="360"/>
      </w:pPr>
      <w:rPr>
        <w:rFonts w:ascii="Ericsson Capital TT" w:hAnsi="Ericsson Capital TT" w:hint="default"/>
      </w:rPr>
    </w:lvl>
    <w:lvl w:ilvl="2" w:tplc="6BE0D892" w:tentative="1">
      <w:start w:val="1"/>
      <w:numFmt w:val="bullet"/>
      <w:lvlText w:val="›"/>
      <w:lvlJc w:val="left"/>
      <w:pPr>
        <w:tabs>
          <w:tab w:val="num" w:pos="2160"/>
        </w:tabs>
        <w:ind w:left="2160" w:hanging="360"/>
      </w:pPr>
      <w:rPr>
        <w:rFonts w:ascii="Arial" w:hAnsi="Arial" w:hint="default"/>
      </w:rPr>
    </w:lvl>
    <w:lvl w:ilvl="3" w:tplc="E398F170" w:tentative="1">
      <w:start w:val="1"/>
      <w:numFmt w:val="bullet"/>
      <w:lvlText w:val="›"/>
      <w:lvlJc w:val="left"/>
      <w:pPr>
        <w:tabs>
          <w:tab w:val="num" w:pos="2880"/>
        </w:tabs>
        <w:ind w:left="2880" w:hanging="360"/>
      </w:pPr>
      <w:rPr>
        <w:rFonts w:ascii="Arial" w:hAnsi="Arial" w:hint="default"/>
      </w:rPr>
    </w:lvl>
    <w:lvl w:ilvl="4" w:tplc="F84AF376" w:tentative="1">
      <w:start w:val="1"/>
      <w:numFmt w:val="bullet"/>
      <w:lvlText w:val="›"/>
      <w:lvlJc w:val="left"/>
      <w:pPr>
        <w:tabs>
          <w:tab w:val="num" w:pos="3600"/>
        </w:tabs>
        <w:ind w:left="3600" w:hanging="360"/>
      </w:pPr>
      <w:rPr>
        <w:rFonts w:ascii="Arial" w:hAnsi="Arial" w:hint="default"/>
      </w:rPr>
    </w:lvl>
    <w:lvl w:ilvl="5" w:tplc="B4E8AF64" w:tentative="1">
      <w:start w:val="1"/>
      <w:numFmt w:val="bullet"/>
      <w:lvlText w:val="›"/>
      <w:lvlJc w:val="left"/>
      <w:pPr>
        <w:tabs>
          <w:tab w:val="num" w:pos="4320"/>
        </w:tabs>
        <w:ind w:left="4320" w:hanging="360"/>
      </w:pPr>
      <w:rPr>
        <w:rFonts w:ascii="Arial" w:hAnsi="Arial" w:hint="default"/>
      </w:rPr>
    </w:lvl>
    <w:lvl w:ilvl="6" w:tplc="3BF21726" w:tentative="1">
      <w:start w:val="1"/>
      <w:numFmt w:val="bullet"/>
      <w:lvlText w:val="›"/>
      <w:lvlJc w:val="left"/>
      <w:pPr>
        <w:tabs>
          <w:tab w:val="num" w:pos="5040"/>
        </w:tabs>
        <w:ind w:left="5040" w:hanging="360"/>
      </w:pPr>
      <w:rPr>
        <w:rFonts w:ascii="Arial" w:hAnsi="Arial" w:hint="default"/>
      </w:rPr>
    </w:lvl>
    <w:lvl w:ilvl="7" w:tplc="5DD67118" w:tentative="1">
      <w:start w:val="1"/>
      <w:numFmt w:val="bullet"/>
      <w:lvlText w:val="›"/>
      <w:lvlJc w:val="left"/>
      <w:pPr>
        <w:tabs>
          <w:tab w:val="num" w:pos="5760"/>
        </w:tabs>
        <w:ind w:left="5760" w:hanging="360"/>
      </w:pPr>
      <w:rPr>
        <w:rFonts w:ascii="Arial" w:hAnsi="Arial" w:hint="default"/>
      </w:rPr>
    </w:lvl>
    <w:lvl w:ilvl="8" w:tplc="1A7A3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D618BD"/>
    <w:multiLevelType w:val="hybridMultilevel"/>
    <w:tmpl w:val="5DBA1F92"/>
    <w:lvl w:ilvl="0" w:tplc="78829318">
      <w:start w:val="1"/>
      <w:numFmt w:val="bullet"/>
      <w:lvlText w:val="›"/>
      <w:lvlJc w:val="left"/>
      <w:pPr>
        <w:tabs>
          <w:tab w:val="num" w:pos="720"/>
        </w:tabs>
        <w:ind w:left="720" w:hanging="360"/>
      </w:pPr>
      <w:rPr>
        <w:rFonts w:ascii="Arial" w:hAnsi="Arial" w:hint="default"/>
      </w:rPr>
    </w:lvl>
    <w:lvl w:ilvl="1" w:tplc="83467C38">
      <w:numFmt w:val="bullet"/>
      <w:lvlText w:val="–"/>
      <w:lvlJc w:val="left"/>
      <w:pPr>
        <w:tabs>
          <w:tab w:val="num" w:pos="1440"/>
        </w:tabs>
        <w:ind w:left="1440" w:hanging="360"/>
      </w:pPr>
      <w:rPr>
        <w:rFonts w:ascii="Ericsson Capital TT" w:hAnsi="Ericsson Capital TT" w:hint="default"/>
      </w:rPr>
    </w:lvl>
    <w:lvl w:ilvl="2" w:tplc="DE40DEEC" w:tentative="1">
      <w:start w:val="1"/>
      <w:numFmt w:val="bullet"/>
      <w:lvlText w:val="›"/>
      <w:lvlJc w:val="left"/>
      <w:pPr>
        <w:tabs>
          <w:tab w:val="num" w:pos="2160"/>
        </w:tabs>
        <w:ind w:left="2160" w:hanging="360"/>
      </w:pPr>
      <w:rPr>
        <w:rFonts w:ascii="Arial" w:hAnsi="Arial" w:hint="default"/>
      </w:rPr>
    </w:lvl>
    <w:lvl w:ilvl="3" w:tplc="7F86B5FC" w:tentative="1">
      <w:start w:val="1"/>
      <w:numFmt w:val="bullet"/>
      <w:lvlText w:val="›"/>
      <w:lvlJc w:val="left"/>
      <w:pPr>
        <w:tabs>
          <w:tab w:val="num" w:pos="2880"/>
        </w:tabs>
        <w:ind w:left="2880" w:hanging="360"/>
      </w:pPr>
      <w:rPr>
        <w:rFonts w:ascii="Arial" w:hAnsi="Arial" w:hint="default"/>
      </w:rPr>
    </w:lvl>
    <w:lvl w:ilvl="4" w:tplc="0FDA7E4A" w:tentative="1">
      <w:start w:val="1"/>
      <w:numFmt w:val="bullet"/>
      <w:lvlText w:val="›"/>
      <w:lvlJc w:val="left"/>
      <w:pPr>
        <w:tabs>
          <w:tab w:val="num" w:pos="3600"/>
        </w:tabs>
        <w:ind w:left="3600" w:hanging="360"/>
      </w:pPr>
      <w:rPr>
        <w:rFonts w:ascii="Arial" w:hAnsi="Arial" w:hint="default"/>
      </w:rPr>
    </w:lvl>
    <w:lvl w:ilvl="5" w:tplc="667879FE" w:tentative="1">
      <w:start w:val="1"/>
      <w:numFmt w:val="bullet"/>
      <w:lvlText w:val="›"/>
      <w:lvlJc w:val="left"/>
      <w:pPr>
        <w:tabs>
          <w:tab w:val="num" w:pos="4320"/>
        </w:tabs>
        <w:ind w:left="4320" w:hanging="360"/>
      </w:pPr>
      <w:rPr>
        <w:rFonts w:ascii="Arial" w:hAnsi="Arial" w:hint="default"/>
      </w:rPr>
    </w:lvl>
    <w:lvl w:ilvl="6" w:tplc="96B2BB66" w:tentative="1">
      <w:start w:val="1"/>
      <w:numFmt w:val="bullet"/>
      <w:lvlText w:val="›"/>
      <w:lvlJc w:val="left"/>
      <w:pPr>
        <w:tabs>
          <w:tab w:val="num" w:pos="5040"/>
        </w:tabs>
        <w:ind w:left="5040" w:hanging="360"/>
      </w:pPr>
      <w:rPr>
        <w:rFonts w:ascii="Arial" w:hAnsi="Arial" w:hint="default"/>
      </w:rPr>
    </w:lvl>
    <w:lvl w:ilvl="7" w:tplc="BDEA539A" w:tentative="1">
      <w:start w:val="1"/>
      <w:numFmt w:val="bullet"/>
      <w:lvlText w:val="›"/>
      <w:lvlJc w:val="left"/>
      <w:pPr>
        <w:tabs>
          <w:tab w:val="num" w:pos="5760"/>
        </w:tabs>
        <w:ind w:left="5760" w:hanging="360"/>
      </w:pPr>
      <w:rPr>
        <w:rFonts w:ascii="Arial" w:hAnsi="Arial" w:hint="default"/>
      </w:rPr>
    </w:lvl>
    <w:lvl w:ilvl="8" w:tplc="C2A02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469B1"/>
    <w:multiLevelType w:val="hybridMultilevel"/>
    <w:tmpl w:val="DFB6DD8C"/>
    <w:lvl w:ilvl="0" w:tplc="F9BC2996">
      <w:start w:val="1"/>
      <w:numFmt w:val="bullet"/>
      <w:lvlText w:val="›"/>
      <w:lvlJc w:val="left"/>
      <w:pPr>
        <w:tabs>
          <w:tab w:val="num" w:pos="720"/>
        </w:tabs>
        <w:ind w:left="720" w:hanging="360"/>
      </w:pPr>
      <w:rPr>
        <w:rFonts w:ascii="Arial" w:hAnsi="Arial" w:hint="default"/>
      </w:rPr>
    </w:lvl>
    <w:lvl w:ilvl="1" w:tplc="C4741FBA">
      <w:numFmt w:val="bullet"/>
      <w:lvlText w:val="–"/>
      <w:lvlJc w:val="left"/>
      <w:pPr>
        <w:tabs>
          <w:tab w:val="num" w:pos="1440"/>
        </w:tabs>
        <w:ind w:left="1440" w:hanging="360"/>
      </w:pPr>
      <w:rPr>
        <w:rFonts w:ascii="Ericsson Capital TT" w:hAnsi="Ericsson Capital TT" w:hint="default"/>
      </w:rPr>
    </w:lvl>
    <w:lvl w:ilvl="2" w:tplc="8F8218CE">
      <w:numFmt w:val="bullet"/>
      <w:lvlText w:val="›"/>
      <w:lvlJc w:val="left"/>
      <w:pPr>
        <w:tabs>
          <w:tab w:val="num" w:pos="2160"/>
        </w:tabs>
        <w:ind w:left="2160" w:hanging="360"/>
      </w:pPr>
      <w:rPr>
        <w:rFonts w:ascii="Ericsson Capital TT" w:hAnsi="Ericsson Capital TT" w:hint="default"/>
      </w:rPr>
    </w:lvl>
    <w:lvl w:ilvl="3" w:tplc="F1DE914A" w:tentative="1">
      <w:start w:val="1"/>
      <w:numFmt w:val="bullet"/>
      <w:lvlText w:val="›"/>
      <w:lvlJc w:val="left"/>
      <w:pPr>
        <w:tabs>
          <w:tab w:val="num" w:pos="2880"/>
        </w:tabs>
        <w:ind w:left="2880" w:hanging="360"/>
      </w:pPr>
      <w:rPr>
        <w:rFonts w:ascii="Arial" w:hAnsi="Arial" w:hint="default"/>
      </w:rPr>
    </w:lvl>
    <w:lvl w:ilvl="4" w:tplc="32AC6528" w:tentative="1">
      <w:start w:val="1"/>
      <w:numFmt w:val="bullet"/>
      <w:lvlText w:val="›"/>
      <w:lvlJc w:val="left"/>
      <w:pPr>
        <w:tabs>
          <w:tab w:val="num" w:pos="3600"/>
        </w:tabs>
        <w:ind w:left="3600" w:hanging="360"/>
      </w:pPr>
      <w:rPr>
        <w:rFonts w:ascii="Arial" w:hAnsi="Arial" w:hint="default"/>
      </w:rPr>
    </w:lvl>
    <w:lvl w:ilvl="5" w:tplc="29644E70" w:tentative="1">
      <w:start w:val="1"/>
      <w:numFmt w:val="bullet"/>
      <w:lvlText w:val="›"/>
      <w:lvlJc w:val="left"/>
      <w:pPr>
        <w:tabs>
          <w:tab w:val="num" w:pos="4320"/>
        </w:tabs>
        <w:ind w:left="4320" w:hanging="360"/>
      </w:pPr>
      <w:rPr>
        <w:rFonts w:ascii="Arial" w:hAnsi="Arial" w:hint="default"/>
      </w:rPr>
    </w:lvl>
    <w:lvl w:ilvl="6" w:tplc="A6B85CE4" w:tentative="1">
      <w:start w:val="1"/>
      <w:numFmt w:val="bullet"/>
      <w:lvlText w:val="›"/>
      <w:lvlJc w:val="left"/>
      <w:pPr>
        <w:tabs>
          <w:tab w:val="num" w:pos="5040"/>
        </w:tabs>
        <w:ind w:left="5040" w:hanging="360"/>
      </w:pPr>
      <w:rPr>
        <w:rFonts w:ascii="Arial" w:hAnsi="Arial" w:hint="default"/>
      </w:rPr>
    </w:lvl>
    <w:lvl w:ilvl="7" w:tplc="F550A6B8" w:tentative="1">
      <w:start w:val="1"/>
      <w:numFmt w:val="bullet"/>
      <w:lvlText w:val="›"/>
      <w:lvlJc w:val="left"/>
      <w:pPr>
        <w:tabs>
          <w:tab w:val="num" w:pos="5760"/>
        </w:tabs>
        <w:ind w:left="5760" w:hanging="360"/>
      </w:pPr>
      <w:rPr>
        <w:rFonts w:ascii="Arial" w:hAnsi="Arial" w:hint="default"/>
      </w:rPr>
    </w:lvl>
    <w:lvl w:ilvl="8" w:tplc="6C9043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ABEE6BE6"/>
    <w:lvl w:ilvl="0" w:tplc="3C1A19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B97105"/>
    <w:multiLevelType w:val="hybridMultilevel"/>
    <w:tmpl w:val="4E685B4A"/>
    <w:lvl w:ilvl="0" w:tplc="AB485624">
      <w:start w:val="1"/>
      <w:numFmt w:val="bullet"/>
      <w:lvlText w:val="›"/>
      <w:lvlJc w:val="left"/>
      <w:pPr>
        <w:tabs>
          <w:tab w:val="num" w:pos="720"/>
        </w:tabs>
        <w:ind w:left="720" w:hanging="360"/>
      </w:pPr>
      <w:rPr>
        <w:rFonts w:ascii="Arial" w:hAnsi="Arial" w:hint="default"/>
      </w:rPr>
    </w:lvl>
    <w:lvl w:ilvl="1" w:tplc="0B1A4A52" w:tentative="1">
      <w:start w:val="1"/>
      <w:numFmt w:val="bullet"/>
      <w:lvlText w:val="›"/>
      <w:lvlJc w:val="left"/>
      <w:pPr>
        <w:tabs>
          <w:tab w:val="num" w:pos="1440"/>
        </w:tabs>
        <w:ind w:left="1440" w:hanging="360"/>
      </w:pPr>
      <w:rPr>
        <w:rFonts w:ascii="Arial" w:hAnsi="Arial" w:hint="default"/>
      </w:rPr>
    </w:lvl>
    <w:lvl w:ilvl="2" w:tplc="7924C062" w:tentative="1">
      <w:start w:val="1"/>
      <w:numFmt w:val="bullet"/>
      <w:lvlText w:val="›"/>
      <w:lvlJc w:val="left"/>
      <w:pPr>
        <w:tabs>
          <w:tab w:val="num" w:pos="2160"/>
        </w:tabs>
        <w:ind w:left="2160" w:hanging="360"/>
      </w:pPr>
      <w:rPr>
        <w:rFonts w:ascii="Arial" w:hAnsi="Arial" w:hint="default"/>
      </w:rPr>
    </w:lvl>
    <w:lvl w:ilvl="3" w:tplc="1FCACFC4" w:tentative="1">
      <w:start w:val="1"/>
      <w:numFmt w:val="bullet"/>
      <w:lvlText w:val="›"/>
      <w:lvlJc w:val="left"/>
      <w:pPr>
        <w:tabs>
          <w:tab w:val="num" w:pos="2880"/>
        </w:tabs>
        <w:ind w:left="2880" w:hanging="360"/>
      </w:pPr>
      <w:rPr>
        <w:rFonts w:ascii="Arial" w:hAnsi="Arial" w:hint="default"/>
      </w:rPr>
    </w:lvl>
    <w:lvl w:ilvl="4" w:tplc="3918B784" w:tentative="1">
      <w:start w:val="1"/>
      <w:numFmt w:val="bullet"/>
      <w:lvlText w:val="›"/>
      <w:lvlJc w:val="left"/>
      <w:pPr>
        <w:tabs>
          <w:tab w:val="num" w:pos="3600"/>
        </w:tabs>
        <w:ind w:left="3600" w:hanging="360"/>
      </w:pPr>
      <w:rPr>
        <w:rFonts w:ascii="Arial" w:hAnsi="Arial" w:hint="default"/>
      </w:rPr>
    </w:lvl>
    <w:lvl w:ilvl="5" w:tplc="E2F45926" w:tentative="1">
      <w:start w:val="1"/>
      <w:numFmt w:val="bullet"/>
      <w:lvlText w:val="›"/>
      <w:lvlJc w:val="left"/>
      <w:pPr>
        <w:tabs>
          <w:tab w:val="num" w:pos="4320"/>
        </w:tabs>
        <w:ind w:left="4320" w:hanging="360"/>
      </w:pPr>
      <w:rPr>
        <w:rFonts w:ascii="Arial" w:hAnsi="Arial" w:hint="default"/>
      </w:rPr>
    </w:lvl>
    <w:lvl w:ilvl="6" w:tplc="82EC1A6A" w:tentative="1">
      <w:start w:val="1"/>
      <w:numFmt w:val="bullet"/>
      <w:lvlText w:val="›"/>
      <w:lvlJc w:val="left"/>
      <w:pPr>
        <w:tabs>
          <w:tab w:val="num" w:pos="5040"/>
        </w:tabs>
        <w:ind w:left="5040" w:hanging="360"/>
      </w:pPr>
      <w:rPr>
        <w:rFonts w:ascii="Arial" w:hAnsi="Arial" w:hint="default"/>
      </w:rPr>
    </w:lvl>
    <w:lvl w:ilvl="7" w:tplc="D8DC2DEC" w:tentative="1">
      <w:start w:val="1"/>
      <w:numFmt w:val="bullet"/>
      <w:lvlText w:val="›"/>
      <w:lvlJc w:val="left"/>
      <w:pPr>
        <w:tabs>
          <w:tab w:val="num" w:pos="5760"/>
        </w:tabs>
        <w:ind w:left="5760" w:hanging="360"/>
      </w:pPr>
      <w:rPr>
        <w:rFonts w:ascii="Arial" w:hAnsi="Arial" w:hint="default"/>
      </w:rPr>
    </w:lvl>
    <w:lvl w:ilvl="8" w:tplc="FEFCAA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333FE8"/>
    <w:multiLevelType w:val="hybridMultilevel"/>
    <w:tmpl w:val="C7E2A9D8"/>
    <w:lvl w:ilvl="0" w:tplc="73EEF084">
      <w:start w:val="1"/>
      <w:numFmt w:val="bullet"/>
      <w:lvlText w:val="›"/>
      <w:lvlJc w:val="left"/>
      <w:pPr>
        <w:tabs>
          <w:tab w:val="num" w:pos="720"/>
        </w:tabs>
        <w:ind w:left="720" w:hanging="360"/>
      </w:pPr>
      <w:rPr>
        <w:rFonts w:ascii="Arial" w:hAnsi="Arial" w:hint="default"/>
      </w:rPr>
    </w:lvl>
    <w:lvl w:ilvl="1" w:tplc="9266D6BA">
      <w:numFmt w:val="bullet"/>
      <w:lvlText w:val="–"/>
      <w:lvlJc w:val="left"/>
      <w:pPr>
        <w:tabs>
          <w:tab w:val="num" w:pos="1440"/>
        </w:tabs>
        <w:ind w:left="1440" w:hanging="360"/>
      </w:pPr>
      <w:rPr>
        <w:rFonts w:ascii="Ericsson Capital TT" w:hAnsi="Ericsson Capital TT" w:hint="default"/>
      </w:rPr>
    </w:lvl>
    <w:lvl w:ilvl="2" w:tplc="5E7E6A90" w:tentative="1">
      <w:start w:val="1"/>
      <w:numFmt w:val="bullet"/>
      <w:lvlText w:val="›"/>
      <w:lvlJc w:val="left"/>
      <w:pPr>
        <w:tabs>
          <w:tab w:val="num" w:pos="2160"/>
        </w:tabs>
        <w:ind w:left="2160" w:hanging="360"/>
      </w:pPr>
      <w:rPr>
        <w:rFonts w:ascii="Arial" w:hAnsi="Arial" w:hint="default"/>
      </w:rPr>
    </w:lvl>
    <w:lvl w:ilvl="3" w:tplc="747C3D42" w:tentative="1">
      <w:start w:val="1"/>
      <w:numFmt w:val="bullet"/>
      <w:lvlText w:val="›"/>
      <w:lvlJc w:val="left"/>
      <w:pPr>
        <w:tabs>
          <w:tab w:val="num" w:pos="2880"/>
        </w:tabs>
        <w:ind w:left="2880" w:hanging="360"/>
      </w:pPr>
      <w:rPr>
        <w:rFonts w:ascii="Arial" w:hAnsi="Arial" w:hint="default"/>
      </w:rPr>
    </w:lvl>
    <w:lvl w:ilvl="4" w:tplc="84567840" w:tentative="1">
      <w:start w:val="1"/>
      <w:numFmt w:val="bullet"/>
      <w:lvlText w:val="›"/>
      <w:lvlJc w:val="left"/>
      <w:pPr>
        <w:tabs>
          <w:tab w:val="num" w:pos="3600"/>
        </w:tabs>
        <w:ind w:left="3600" w:hanging="360"/>
      </w:pPr>
      <w:rPr>
        <w:rFonts w:ascii="Arial" w:hAnsi="Arial" w:hint="default"/>
      </w:rPr>
    </w:lvl>
    <w:lvl w:ilvl="5" w:tplc="CC7415F2" w:tentative="1">
      <w:start w:val="1"/>
      <w:numFmt w:val="bullet"/>
      <w:lvlText w:val="›"/>
      <w:lvlJc w:val="left"/>
      <w:pPr>
        <w:tabs>
          <w:tab w:val="num" w:pos="4320"/>
        </w:tabs>
        <w:ind w:left="4320" w:hanging="360"/>
      </w:pPr>
      <w:rPr>
        <w:rFonts w:ascii="Arial" w:hAnsi="Arial" w:hint="default"/>
      </w:rPr>
    </w:lvl>
    <w:lvl w:ilvl="6" w:tplc="477E0E36" w:tentative="1">
      <w:start w:val="1"/>
      <w:numFmt w:val="bullet"/>
      <w:lvlText w:val="›"/>
      <w:lvlJc w:val="left"/>
      <w:pPr>
        <w:tabs>
          <w:tab w:val="num" w:pos="5040"/>
        </w:tabs>
        <w:ind w:left="5040" w:hanging="360"/>
      </w:pPr>
      <w:rPr>
        <w:rFonts w:ascii="Arial" w:hAnsi="Arial" w:hint="default"/>
      </w:rPr>
    </w:lvl>
    <w:lvl w:ilvl="7" w:tplc="8410CC74" w:tentative="1">
      <w:start w:val="1"/>
      <w:numFmt w:val="bullet"/>
      <w:lvlText w:val="›"/>
      <w:lvlJc w:val="left"/>
      <w:pPr>
        <w:tabs>
          <w:tab w:val="num" w:pos="5760"/>
        </w:tabs>
        <w:ind w:left="5760" w:hanging="360"/>
      </w:pPr>
      <w:rPr>
        <w:rFonts w:ascii="Arial" w:hAnsi="Arial" w:hint="default"/>
      </w:rPr>
    </w:lvl>
    <w:lvl w:ilvl="8" w:tplc="148C98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29087D"/>
    <w:multiLevelType w:val="hybridMultilevel"/>
    <w:tmpl w:val="91063C9E"/>
    <w:lvl w:ilvl="0" w:tplc="C5281C76">
      <w:start w:val="1"/>
      <w:numFmt w:val="bullet"/>
      <w:lvlText w:val="›"/>
      <w:lvlJc w:val="left"/>
      <w:pPr>
        <w:tabs>
          <w:tab w:val="num" w:pos="720"/>
        </w:tabs>
        <w:ind w:left="720" w:hanging="360"/>
      </w:pPr>
      <w:rPr>
        <w:rFonts w:ascii="Arial" w:hAnsi="Arial" w:hint="default"/>
      </w:rPr>
    </w:lvl>
    <w:lvl w:ilvl="1" w:tplc="205CAD4E" w:tentative="1">
      <w:start w:val="1"/>
      <w:numFmt w:val="bullet"/>
      <w:lvlText w:val="›"/>
      <w:lvlJc w:val="left"/>
      <w:pPr>
        <w:tabs>
          <w:tab w:val="num" w:pos="1440"/>
        </w:tabs>
        <w:ind w:left="1440" w:hanging="360"/>
      </w:pPr>
      <w:rPr>
        <w:rFonts w:ascii="Arial" w:hAnsi="Arial" w:hint="default"/>
      </w:rPr>
    </w:lvl>
    <w:lvl w:ilvl="2" w:tplc="0008AC70" w:tentative="1">
      <w:start w:val="1"/>
      <w:numFmt w:val="bullet"/>
      <w:lvlText w:val="›"/>
      <w:lvlJc w:val="left"/>
      <w:pPr>
        <w:tabs>
          <w:tab w:val="num" w:pos="2160"/>
        </w:tabs>
        <w:ind w:left="2160" w:hanging="360"/>
      </w:pPr>
      <w:rPr>
        <w:rFonts w:ascii="Arial" w:hAnsi="Arial" w:hint="default"/>
      </w:rPr>
    </w:lvl>
    <w:lvl w:ilvl="3" w:tplc="CC9E3F4A" w:tentative="1">
      <w:start w:val="1"/>
      <w:numFmt w:val="bullet"/>
      <w:lvlText w:val="›"/>
      <w:lvlJc w:val="left"/>
      <w:pPr>
        <w:tabs>
          <w:tab w:val="num" w:pos="2880"/>
        </w:tabs>
        <w:ind w:left="2880" w:hanging="360"/>
      </w:pPr>
      <w:rPr>
        <w:rFonts w:ascii="Arial" w:hAnsi="Arial" w:hint="default"/>
      </w:rPr>
    </w:lvl>
    <w:lvl w:ilvl="4" w:tplc="4F36466C" w:tentative="1">
      <w:start w:val="1"/>
      <w:numFmt w:val="bullet"/>
      <w:lvlText w:val="›"/>
      <w:lvlJc w:val="left"/>
      <w:pPr>
        <w:tabs>
          <w:tab w:val="num" w:pos="3600"/>
        </w:tabs>
        <w:ind w:left="3600" w:hanging="360"/>
      </w:pPr>
      <w:rPr>
        <w:rFonts w:ascii="Arial" w:hAnsi="Arial" w:hint="default"/>
      </w:rPr>
    </w:lvl>
    <w:lvl w:ilvl="5" w:tplc="02A26E14" w:tentative="1">
      <w:start w:val="1"/>
      <w:numFmt w:val="bullet"/>
      <w:lvlText w:val="›"/>
      <w:lvlJc w:val="left"/>
      <w:pPr>
        <w:tabs>
          <w:tab w:val="num" w:pos="4320"/>
        </w:tabs>
        <w:ind w:left="4320" w:hanging="360"/>
      </w:pPr>
      <w:rPr>
        <w:rFonts w:ascii="Arial" w:hAnsi="Arial" w:hint="default"/>
      </w:rPr>
    </w:lvl>
    <w:lvl w:ilvl="6" w:tplc="90CA1500" w:tentative="1">
      <w:start w:val="1"/>
      <w:numFmt w:val="bullet"/>
      <w:lvlText w:val="›"/>
      <w:lvlJc w:val="left"/>
      <w:pPr>
        <w:tabs>
          <w:tab w:val="num" w:pos="5040"/>
        </w:tabs>
        <w:ind w:left="5040" w:hanging="360"/>
      </w:pPr>
      <w:rPr>
        <w:rFonts w:ascii="Arial" w:hAnsi="Arial" w:hint="default"/>
      </w:rPr>
    </w:lvl>
    <w:lvl w:ilvl="7" w:tplc="2466EA12" w:tentative="1">
      <w:start w:val="1"/>
      <w:numFmt w:val="bullet"/>
      <w:lvlText w:val="›"/>
      <w:lvlJc w:val="left"/>
      <w:pPr>
        <w:tabs>
          <w:tab w:val="num" w:pos="5760"/>
        </w:tabs>
        <w:ind w:left="5760" w:hanging="360"/>
      </w:pPr>
      <w:rPr>
        <w:rFonts w:ascii="Arial" w:hAnsi="Arial" w:hint="default"/>
      </w:rPr>
    </w:lvl>
    <w:lvl w:ilvl="8" w:tplc="69FC52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78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C411C1"/>
    <w:multiLevelType w:val="hybridMultilevel"/>
    <w:tmpl w:val="A79C8FEA"/>
    <w:lvl w:ilvl="0" w:tplc="76F05544">
      <w:start w:val="1"/>
      <w:numFmt w:val="bullet"/>
      <w:lvlText w:val="›"/>
      <w:lvlJc w:val="left"/>
      <w:pPr>
        <w:tabs>
          <w:tab w:val="num" w:pos="720"/>
        </w:tabs>
        <w:ind w:left="720" w:hanging="360"/>
      </w:pPr>
      <w:rPr>
        <w:rFonts w:ascii="Arial" w:hAnsi="Arial" w:hint="default"/>
      </w:rPr>
    </w:lvl>
    <w:lvl w:ilvl="1" w:tplc="75C46358">
      <w:start w:val="1"/>
      <w:numFmt w:val="bullet"/>
      <w:lvlText w:val="›"/>
      <w:lvlJc w:val="left"/>
      <w:pPr>
        <w:tabs>
          <w:tab w:val="num" w:pos="1440"/>
        </w:tabs>
        <w:ind w:left="1440" w:hanging="360"/>
      </w:pPr>
      <w:rPr>
        <w:rFonts w:ascii="Arial" w:hAnsi="Arial" w:hint="default"/>
      </w:rPr>
    </w:lvl>
    <w:lvl w:ilvl="2" w:tplc="9E3A8558">
      <w:start w:val="1"/>
      <w:numFmt w:val="bullet"/>
      <w:lvlText w:val="›"/>
      <w:lvlJc w:val="left"/>
      <w:pPr>
        <w:tabs>
          <w:tab w:val="num" w:pos="2160"/>
        </w:tabs>
        <w:ind w:left="2160" w:hanging="360"/>
      </w:pPr>
      <w:rPr>
        <w:rFonts w:ascii="Arial" w:hAnsi="Arial" w:hint="default"/>
      </w:rPr>
    </w:lvl>
    <w:lvl w:ilvl="3" w:tplc="1AAA6262" w:tentative="1">
      <w:start w:val="1"/>
      <w:numFmt w:val="bullet"/>
      <w:lvlText w:val="›"/>
      <w:lvlJc w:val="left"/>
      <w:pPr>
        <w:tabs>
          <w:tab w:val="num" w:pos="2880"/>
        </w:tabs>
        <w:ind w:left="2880" w:hanging="360"/>
      </w:pPr>
      <w:rPr>
        <w:rFonts w:ascii="Arial" w:hAnsi="Arial" w:hint="default"/>
      </w:rPr>
    </w:lvl>
    <w:lvl w:ilvl="4" w:tplc="B3544CEA" w:tentative="1">
      <w:start w:val="1"/>
      <w:numFmt w:val="bullet"/>
      <w:lvlText w:val="›"/>
      <w:lvlJc w:val="left"/>
      <w:pPr>
        <w:tabs>
          <w:tab w:val="num" w:pos="3600"/>
        </w:tabs>
        <w:ind w:left="3600" w:hanging="360"/>
      </w:pPr>
      <w:rPr>
        <w:rFonts w:ascii="Arial" w:hAnsi="Arial" w:hint="default"/>
      </w:rPr>
    </w:lvl>
    <w:lvl w:ilvl="5" w:tplc="1D325A40" w:tentative="1">
      <w:start w:val="1"/>
      <w:numFmt w:val="bullet"/>
      <w:lvlText w:val="›"/>
      <w:lvlJc w:val="left"/>
      <w:pPr>
        <w:tabs>
          <w:tab w:val="num" w:pos="4320"/>
        </w:tabs>
        <w:ind w:left="4320" w:hanging="360"/>
      </w:pPr>
      <w:rPr>
        <w:rFonts w:ascii="Arial" w:hAnsi="Arial" w:hint="default"/>
      </w:rPr>
    </w:lvl>
    <w:lvl w:ilvl="6" w:tplc="DA4C51E8" w:tentative="1">
      <w:start w:val="1"/>
      <w:numFmt w:val="bullet"/>
      <w:lvlText w:val="›"/>
      <w:lvlJc w:val="left"/>
      <w:pPr>
        <w:tabs>
          <w:tab w:val="num" w:pos="5040"/>
        </w:tabs>
        <w:ind w:left="5040" w:hanging="360"/>
      </w:pPr>
      <w:rPr>
        <w:rFonts w:ascii="Arial" w:hAnsi="Arial" w:hint="default"/>
      </w:rPr>
    </w:lvl>
    <w:lvl w:ilvl="7" w:tplc="B698577E" w:tentative="1">
      <w:start w:val="1"/>
      <w:numFmt w:val="bullet"/>
      <w:lvlText w:val="›"/>
      <w:lvlJc w:val="left"/>
      <w:pPr>
        <w:tabs>
          <w:tab w:val="num" w:pos="5760"/>
        </w:tabs>
        <w:ind w:left="5760" w:hanging="360"/>
      </w:pPr>
      <w:rPr>
        <w:rFonts w:ascii="Arial" w:hAnsi="Arial" w:hint="default"/>
      </w:rPr>
    </w:lvl>
    <w:lvl w:ilvl="8" w:tplc="F75AE7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15FBC"/>
    <w:multiLevelType w:val="hybridMultilevel"/>
    <w:tmpl w:val="E4ECC4A8"/>
    <w:lvl w:ilvl="0" w:tplc="F93C1A88">
      <w:start w:val="1"/>
      <w:numFmt w:val="bullet"/>
      <w:lvlText w:val="›"/>
      <w:lvlJc w:val="left"/>
      <w:pPr>
        <w:tabs>
          <w:tab w:val="num" w:pos="720"/>
        </w:tabs>
        <w:ind w:left="720" w:hanging="360"/>
      </w:pPr>
      <w:rPr>
        <w:rFonts w:ascii="Arial" w:hAnsi="Arial" w:hint="default"/>
      </w:rPr>
    </w:lvl>
    <w:lvl w:ilvl="1" w:tplc="1B6A1FE6">
      <w:numFmt w:val="bullet"/>
      <w:lvlText w:val="–"/>
      <w:lvlJc w:val="left"/>
      <w:pPr>
        <w:tabs>
          <w:tab w:val="num" w:pos="1440"/>
        </w:tabs>
        <w:ind w:left="1440" w:hanging="360"/>
      </w:pPr>
      <w:rPr>
        <w:rFonts w:ascii="Ericsson Capital TT" w:hAnsi="Ericsson Capital TT" w:hint="default"/>
      </w:rPr>
    </w:lvl>
    <w:lvl w:ilvl="2" w:tplc="0CAEE388" w:tentative="1">
      <w:start w:val="1"/>
      <w:numFmt w:val="bullet"/>
      <w:lvlText w:val="›"/>
      <w:lvlJc w:val="left"/>
      <w:pPr>
        <w:tabs>
          <w:tab w:val="num" w:pos="2160"/>
        </w:tabs>
        <w:ind w:left="2160" w:hanging="360"/>
      </w:pPr>
      <w:rPr>
        <w:rFonts w:ascii="Arial" w:hAnsi="Arial" w:hint="default"/>
      </w:rPr>
    </w:lvl>
    <w:lvl w:ilvl="3" w:tplc="99F843BE" w:tentative="1">
      <w:start w:val="1"/>
      <w:numFmt w:val="bullet"/>
      <w:lvlText w:val="›"/>
      <w:lvlJc w:val="left"/>
      <w:pPr>
        <w:tabs>
          <w:tab w:val="num" w:pos="2880"/>
        </w:tabs>
        <w:ind w:left="2880" w:hanging="360"/>
      </w:pPr>
      <w:rPr>
        <w:rFonts w:ascii="Arial" w:hAnsi="Arial" w:hint="default"/>
      </w:rPr>
    </w:lvl>
    <w:lvl w:ilvl="4" w:tplc="34724F44" w:tentative="1">
      <w:start w:val="1"/>
      <w:numFmt w:val="bullet"/>
      <w:lvlText w:val="›"/>
      <w:lvlJc w:val="left"/>
      <w:pPr>
        <w:tabs>
          <w:tab w:val="num" w:pos="3600"/>
        </w:tabs>
        <w:ind w:left="3600" w:hanging="360"/>
      </w:pPr>
      <w:rPr>
        <w:rFonts w:ascii="Arial" w:hAnsi="Arial" w:hint="default"/>
      </w:rPr>
    </w:lvl>
    <w:lvl w:ilvl="5" w:tplc="6DFCE136" w:tentative="1">
      <w:start w:val="1"/>
      <w:numFmt w:val="bullet"/>
      <w:lvlText w:val="›"/>
      <w:lvlJc w:val="left"/>
      <w:pPr>
        <w:tabs>
          <w:tab w:val="num" w:pos="4320"/>
        </w:tabs>
        <w:ind w:left="4320" w:hanging="360"/>
      </w:pPr>
      <w:rPr>
        <w:rFonts w:ascii="Arial" w:hAnsi="Arial" w:hint="default"/>
      </w:rPr>
    </w:lvl>
    <w:lvl w:ilvl="6" w:tplc="871229D8" w:tentative="1">
      <w:start w:val="1"/>
      <w:numFmt w:val="bullet"/>
      <w:lvlText w:val="›"/>
      <w:lvlJc w:val="left"/>
      <w:pPr>
        <w:tabs>
          <w:tab w:val="num" w:pos="5040"/>
        </w:tabs>
        <w:ind w:left="5040" w:hanging="360"/>
      </w:pPr>
      <w:rPr>
        <w:rFonts w:ascii="Arial" w:hAnsi="Arial" w:hint="default"/>
      </w:rPr>
    </w:lvl>
    <w:lvl w:ilvl="7" w:tplc="BAE69AC4" w:tentative="1">
      <w:start w:val="1"/>
      <w:numFmt w:val="bullet"/>
      <w:lvlText w:val="›"/>
      <w:lvlJc w:val="left"/>
      <w:pPr>
        <w:tabs>
          <w:tab w:val="num" w:pos="5760"/>
        </w:tabs>
        <w:ind w:left="5760" w:hanging="360"/>
      </w:pPr>
      <w:rPr>
        <w:rFonts w:ascii="Arial" w:hAnsi="Arial" w:hint="default"/>
      </w:rPr>
    </w:lvl>
    <w:lvl w:ilvl="8" w:tplc="F3E2C3C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2"/>
  </w:num>
  <w:num w:numId="3">
    <w:abstractNumId w:val="17"/>
  </w:num>
  <w:num w:numId="4">
    <w:abstractNumId w:val="18"/>
  </w:num>
  <w:num w:numId="5">
    <w:abstractNumId w:val="14"/>
  </w:num>
  <w:num w:numId="6">
    <w:abstractNumId w:val="19"/>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7"/>
  </w:num>
  <w:num w:numId="15">
    <w:abstractNumId w:val="16"/>
  </w:num>
  <w:num w:numId="16">
    <w:abstractNumId w:val="28"/>
  </w:num>
  <w:num w:numId="17">
    <w:abstractNumId w:val="20"/>
  </w:num>
  <w:num w:numId="18">
    <w:abstractNumId w:val="23"/>
  </w:num>
  <w:num w:numId="19">
    <w:abstractNumId w:val="10"/>
  </w:num>
  <w:num w:numId="20">
    <w:abstractNumId w:val="6"/>
  </w:num>
  <w:num w:numId="21">
    <w:abstractNumId w:val="9"/>
  </w:num>
  <w:num w:numId="22">
    <w:abstractNumId w:val="11"/>
  </w:num>
  <w:num w:numId="23">
    <w:abstractNumId w:val="21"/>
  </w:num>
  <w:num w:numId="24">
    <w:abstractNumId w:val="12"/>
  </w:num>
  <w:num w:numId="25">
    <w:abstractNumId w:val="17"/>
  </w:num>
  <w:num w:numId="26">
    <w:abstractNumId w:val="4"/>
  </w:num>
  <w:num w:numId="27">
    <w:abstractNumId w:val="17"/>
    <w:lvlOverride w:ilvl="0">
      <w:startOverride w:val="1"/>
    </w:lvlOverride>
  </w:num>
  <w:num w:numId="28">
    <w:abstractNumId w:val="17"/>
  </w:num>
  <w:num w:numId="29">
    <w:abstractNumId w:val="17"/>
  </w:num>
  <w:num w:numId="30">
    <w:abstractNumId w:val="17"/>
    <w:lvlOverride w:ilvl="0">
      <w:startOverride w:val="1"/>
    </w:lvlOverride>
  </w:num>
  <w:num w:numId="31">
    <w:abstractNumId w:val="22"/>
  </w:num>
  <w:num w:numId="32">
    <w:abstractNumId w:val="22"/>
  </w:num>
  <w:num w:numId="33">
    <w:abstractNumId w:val="22"/>
  </w:num>
  <w:num w:numId="34">
    <w:abstractNumId w:val="17"/>
  </w:num>
  <w:num w:numId="35">
    <w:abstractNumId w:val="22"/>
  </w:num>
  <w:num w:numId="36">
    <w:abstractNumId w:val="5"/>
  </w:num>
  <w:num w:numId="37">
    <w:abstractNumId w:val="26"/>
  </w:num>
  <w:num w:numId="38">
    <w:abstractNumId w:val="22"/>
  </w:num>
  <w:num w:numId="39">
    <w:abstractNumId w:val="7"/>
  </w:num>
  <w:num w:numId="40">
    <w:abstractNumId w:val="3"/>
  </w:num>
  <w:num w:numId="41">
    <w:abstractNumId w:val="22"/>
  </w:num>
  <w:num w:numId="42">
    <w:abstractNumId w:val="8"/>
  </w:num>
  <w:num w:numId="43">
    <w:abstractNumId w:val="17"/>
  </w:num>
  <w:num w:numId="44">
    <w:abstractNumId w:val="17"/>
  </w:num>
  <w:num w:numId="45">
    <w:abstractNumId w:val="17"/>
  </w:num>
  <w:num w:numId="46">
    <w:abstractNumId w:val="17"/>
    <w:lvlOverride w:ilvl="0">
      <w:startOverride w:val="1"/>
    </w:lvlOverride>
  </w:num>
  <w:num w:numId="47">
    <w:abstractNumId w:val="17"/>
    <w:lvlOverride w:ilvl="0">
      <w:startOverride w:val="1"/>
    </w:lvlOverride>
  </w:num>
  <w:num w:numId="48">
    <w:abstractNumId w:val="24"/>
  </w:num>
  <w:num w:numId="49">
    <w:abstractNumId w:val="24"/>
  </w:num>
  <w:num w:numId="50">
    <w:abstractNumId w:val="24"/>
  </w:num>
  <w:num w:numId="5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1AA"/>
    <w:rsid w:val="00002A37"/>
    <w:rsid w:val="00006446"/>
    <w:rsid w:val="00006896"/>
    <w:rsid w:val="00006B58"/>
    <w:rsid w:val="00007CDC"/>
    <w:rsid w:val="00011715"/>
    <w:rsid w:val="00011B28"/>
    <w:rsid w:val="00015D15"/>
    <w:rsid w:val="0002564D"/>
    <w:rsid w:val="00025ECA"/>
    <w:rsid w:val="00027939"/>
    <w:rsid w:val="000325B8"/>
    <w:rsid w:val="000341CA"/>
    <w:rsid w:val="00034C15"/>
    <w:rsid w:val="00035516"/>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71B"/>
    <w:rsid w:val="000849B0"/>
    <w:rsid w:val="000855EB"/>
    <w:rsid w:val="00085B52"/>
    <w:rsid w:val="00085FA9"/>
    <w:rsid w:val="000866F2"/>
    <w:rsid w:val="0009009F"/>
    <w:rsid w:val="000908B1"/>
    <w:rsid w:val="00091557"/>
    <w:rsid w:val="000924C1"/>
    <w:rsid w:val="000924F0"/>
    <w:rsid w:val="00093474"/>
    <w:rsid w:val="00094A14"/>
    <w:rsid w:val="0009510F"/>
    <w:rsid w:val="000A1B7B"/>
    <w:rsid w:val="000A546E"/>
    <w:rsid w:val="000A56F2"/>
    <w:rsid w:val="000B2719"/>
    <w:rsid w:val="000B3A8F"/>
    <w:rsid w:val="000B4AB9"/>
    <w:rsid w:val="000B58C3"/>
    <w:rsid w:val="000B61E9"/>
    <w:rsid w:val="000C165A"/>
    <w:rsid w:val="000C2E19"/>
    <w:rsid w:val="000D0D07"/>
    <w:rsid w:val="000D3BCE"/>
    <w:rsid w:val="000D4797"/>
    <w:rsid w:val="000E0527"/>
    <w:rsid w:val="000E1E92"/>
    <w:rsid w:val="000E40CB"/>
    <w:rsid w:val="000E4B1F"/>
    <w:rsid w:val="000F06D6"/>
    <w:rsid w:val="000F0EB1"/>
    <w:rsid w:val="000F1106"/>
    <w:rsid w:val="000F3BE9"/>
    <w:rsid w:val="000F3F6C"/>
    <w:rsid w:val="000F6DF3"/>
    <w:rsid w:val="001005FF"/>
    <w:rsid w:val="0010175C"/>
    <w:rsid w:val="001062FB"/>
    <w:rsid w:val="001063E6"/>
    <w:rsid w:val="00112274"/>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154"/>
    <w:rsid w:val="001461E5"/>
    <w:rsid w:val="00146C2E"/>
    <w:rsid w:val="00151E23"/>
    <w:rsid w:val="001526E0"/>
    <w:rsid w:val="00153365"/>
    <w:rsid w:val="0015418D"/>
    <w:rsid w:val="001551B5"/>
    <w:rsid w:val="001643A8"/>
    <w:rsid w:val="001659C1"/>
    <w:rsid w:val="001667A3"/>
    <w:rsid w:val="00170D3B"/>
    <w:rsid w:val="00173A8E"/>
    <w:rsid w:val="00177795"/>
    <w:rsid w:val="0018143F"/>
    <w:rsid w:val="00181EB6"/>
    <w:rsid w:val="00182BF9"/>
    <w:rsid w:val="001848A7"/>
    <w:rsid w:val="00187D43"/>
    <w:rsid w:val="00190AC1"/>
    <w:rsid w:val="0019112E"/>
    <w:rsid w:val="0019341A"/>
    <w:rsid w:val="00197DF9"/>
    <w:rsid w:val="001A0206"/>
    <w:rsid w:val="001A1987"/>
    <w:rsid w:val="001A2564"/>
    <w:rsid w:val="001A6173"/>
    <w:rsid w:val="001A6CBA"/>
    <w:rsid w:val="001B0D97"/>
    <w:rsid w:val="001B447B"/>
    <w:rsid w:val="001B5A5D"/>
    <w:rsid w:val="001C1C07"/>
    <w:rsid w:val="001C1CE5"/>
    <w:rsid w:val="001C3D2A"/>
    <w:rsid w:val="001C6495"/>
    <w:rsid w:val="001D51BA"/>
    <w:rsid w:val="001D6342"/>
    <w:rsid w:val="001D6D53"/>
    <w:rsid w:val="001E1AE2"/>
    <w:rsid w:val="001E58E2"/>
    <w:rsid w:val="001E7AED"/>
    <w:rsid w:val="001F0747"/>
    <w:rsid w:val="001F0A4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F2"/>
    <w:rsid w:val="002252C3"/>
    <w:rsid w:val="00225C54"/>
    <w:rsid w:val="0023040C"/>
    <w:rsid w:val="00230765"/>
    <w:rsid w:val="002319E4"/>
    <w:rsid w:val="00235632"/>
    <w:rsid w:val="00235872"/>
    <w:rsid w:val="00241559"/>
    <w:rsid w:val="002423E0"/>
    <w:rsid w:val="00242EF5"/>
    <w:rsid w:val="002435B3"/>
    <w:rsid w:val="00245731"/>
    <w:rsid w:val="002458EB"/>
    <w:rsid w:val="002500C8"/>
    <w:rsid w:val="00254775"/>
    <w:rsid w:val="00257543"/>
    <w:rsid w:val="002604D5"/>
    <w:rsid w:val="00260BB1"/>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805"/>
    <w:rsid w:val="00286ACD"/>
    <w:rsid w:val="00287838"/>
    <w:rsid w:val="002907B5"/>
    <w:rsid w:val="00292EB7"/>
    <w:rsid w:val="00296227"/>
    <w:rsid w:val="00296F44"/>
    <w:rsid w:val="0029777D"/>
    <w:rsid w:val="00297925"/>
    <w:rsid w:val="002A055E"/>
    <w:rsid w:val="002A1D4E"/>
    <w:rsid w:val="002A2869"/>
    <w:rsid w:val="002A3B4B"/>
    <w:rsid w:val="002A5400"/>
    <w:rsid w:val="002B24D6"/>
    <w:rsid w:val="002B4E08"/>
    <w:rsid w:val="002C2D3C"/>
    <w:rsid w:val="002C41E6"/>
    <w:rsid w:val="002C50C0"/>
    <w:rsid w:val="002D071A"/>
    <w:rsid w:val="002D1D22"/>
    <w:rsid w:val="002D34B2"/>
    <w:rsid w:val="002D7637"/>
    <w:rsid w:val="002E17F2"/>
    <w:rsid w:val="002E2D0D"/>
    <w:rsid w:val="002E7CAE"/>
    <w:rsid w:val="002F093C"/>
    <w:rsid w:val="002F2771"/>
    <w:rsid w:val="002F37A9"/>
    <w:rsid w:val="00301CE6"/>
    <w:rsid w:val="0030256B"/>
    <w:rsid w:val="0030501F"/>
    <w:rsid w:val="00307BA1"/>
    <w:rsid w:val="00311702"/>
    <w:rsid w:val="00311E82"/>
    <w:rsid w:val="00313FD6"/>
    <w:rsid w:val="003143BD"/>
    <w:rsid w:val="00317B01"/>
    <w:rsid w:val="003203ED"/>
    <w:rsid w:val="003210FC"/>
    <w:rsid w:val="00322C9F"/>
    <w:rsid w:val="00324D23"/>
    <w:rsid w:val="00331576"/>
    <w:rsid w:val="00331751"/>
    <w:rsid w:val="0033427D"/>
    <w:rsid w:val="00334579"/>
    <w:rsid w:val="00335858"/>
    <w:rsid w:val="00336BDA"/>
    <w:rsid w:val="00337A46"/>
    <w:rsid w:val="00342BD7"/>
    <w:rsid w:val="00343A07"/>
    <w:rsid w:val="00345181"/>
    <w:rsid w:val="00346DB5"/>
    <w:rsid w:val="003477B1"/>
    <w:rsid w:val="0035482C"/>
    <w:rsid w:val="00357380"/>
    <w:rsid w:val="00357E20"/>
    <w:rsid w:val="003602D9"/>
    <w:rsid w:val="003604CE"/>
    <w:rsid w:val="00367BEA"/>
    <w:rsid w:val="00370E47"/>
    <w:rsid w:val="003742AC"/>
    <w:rsid w:val="00377CE1"/>
    <w:rsid w:val="00385BF0"/>
    <w:rsid w:val="00391779"/>
    <w:rsid w:val="003939FF"/>
    <w:rsid w:val="003A2223"/>
    <w:rsid w:val="003A2A0F"/>
    <w:rsid w:val="003A45A1"/>
    <w:rsid w:val="003A5B0A"/>
    <w:rsid w:val="003A6BAC"/>
    <w:rsid w:val="003A7EF3"/>
    <w:rsid w:val="003B159C"/>
    <w:rsid w:val="003B369F"/>
    <w:rsid w:val="003B36A3"/>
    <w:rsid w:val="003B5CE8"/>
    <w:rsid w:val="003B7FE5"/>
    <w:rsid w:val="003C11C8"/>
    <w:rsid w:val="003C2702"/>
    <w:rsid w:val="003C6B6D"/>
    <w:rsid w:val="003C7806"/>
    <w:rsid w:val="003D109F"/>
    <w:rsid w:val="003D2478"/>
    <w:rsid w:val="003D2FC4"/>
    <w:rsid w:val="003D3C45"/>
    <w:rsid w:val="003D5B1F"/>
    <w:rsid w:val="003E15FA"/>
    <w:rsid w:val="003E4586"/>
    <w:rsid w:val="003E55E4"/>
    <w:rsid w:val="003E74E3"/>
    <w:rsid w:val="003F05C7"/>
    <w:rsid w:val="003F2CD4"/>
    <w:rsid w:val="003F629C"/>
    <w:rsid w:val="003F6BBE"/>
    <w:rsid w:val="004000E8"/>
    <w:rsid w:val="00402E2B"/>
    <w:rsid w:val="00404A43"/>
    <w:rsid w:val="0040512B"/>
    <w:rsid w:val="00405CA5"/>
    <w:rsid w:val="00407CD3"/>
    <w:rsid w:val="00410134"/>
    <w:rsid w:val="00410B72"/>
    <w:rsid w:val="00410F18"/>
    <w:rsid w:val="0041263E"/>
    <w:rsid w:val="00413AAC"/>
    <w:rsid w:val="00421105"/>
    <w:rsid w:val="004242F4"/>
    <w:rsid w:val="00426AB0"/>
    <w:rsid w:val="00427248"/>
    <w:rsid w:val="00434DE9"/>
    <w:rsid w:val="00437447"/>
    <w:rsid w:val="00441A92"/>
    <w:rsid w:val="00444F56"/>
    <w:rsid w:val="00446488"/>
    <w:rsid w:val="004517AA"/>
    <w:rsid w:val="00452CAC"/>
    <w:rsid w:val="0045731A"/>
    <w:rsid w:val="00457565"/>
    <w:rsid w:val="00457B71"/>
    <w:rsid w:val="00465F3A"/>
    <w:rsid w:val="004669E2"/>
    <w:rsid w:val="00466A8C"/>
    <w:rsid w:val="00470C31"/>
    <w:rsid w:val="00471267"/>
    <w:rsid w:val="004734D0"/>
    <w:rsid w:val="004737F8"/>
    <w:rsid w:val="0047556B"/>
    <w:rsid w:val="00477768"/>
    <w:rsid w:val="004912EF"/>
    <w:rsid w:val="0049264E"/>
    <w:rsid w:val="00492BC5"/>
    <w:rsid w:val="004964F1"/>
    <w:rsid w:val="004A0899"/>
    <w:rsid w:val="004A16BC"/>
    <w:rsid w:val="004A2B94"/>
    <w:rsid w:val="004A7E2D"/>
    <w:rsid w:val="004B7C0C"/>
    <w:rsid w:val="004B7C52"/>
    <w:rsid w:val="004C1075"/>
    <w:rsid w:val="004C223E"/>
    <w:rsid w:val="004C3898"/>
    <w:rsid w:val="004D02F4"/>
    <w:rsid w:val="004D36B1"/>
    <w:rsid w:val="004D7EBD"/>
    <w:rsid w:val="004E2680"/>
    <w:rsid w:val="004E28F9"/>
    <w:rsid w:val="004E462E"/>
    <w:rsid w:val="004E56DC"/>
    <w:rsid w:val="004E76F4"/>
    <w:rsid w:val="004F0B4E"/>
    <w:rsid w:val="004F0B6C"/>
    <w:rsid w:val="004F2078"/>
    <w:rsid w:val="004F4DA3"/>
    <w:rsid w:val="004F6C74"/>
    <w:rsid w:val="004F7FF9"/>
    <w:rsid w:val="00501750"/>
    <w:rsid w:val="00504F9E"/>
    <w:rsid w:val="00506557"/>
    <w:rsid w:val="0050677A"/>
    <w:rsid w:val="005108D8"/>
    <w:rsid w:val="005116F9"/>
    <w:rsid w:val="005153A7"/>
    <w:rsid w:val="00516FF9"/>
    <w:rsid w:val="005219CF"/>
    <w:rsid w:val="00531534"/>
    <w:rsid w:val="005326AE"/>
    <w:rsid w:val="005338D0"/>
    <w:rsid w:val="00534B59"/>
    <w:rsid w:val="0053589C"/>
    <w:rsid w:val="00536759"/>
    <w:rsid w:val="00537C62"/>
    <w:rsid w:val="0054657E"/>
    <w:rsid w:val="00546970"/>
    <w:rsid w:val="00553385"/>
    <w:rsid w:val="00554E19"/>
    <w:rsid w:val="0056121F"/>
    <w:rsid w:val="005621BB"/>
    <w:rsid w:val="00567500"/>
    <w:rsid w:val="0057229F"/>
    <w:rsid w:val="00572505"/>
    <w:rsid w:val="00576261"/>
    <w:rsid w:val="0057739B"/>
    <w:rsid w:val="00580202"/>
    <w:rsid w:val="00581031"/>
    <w:rsid w:val="00582809"/>
    <w:rsid w:val="005864B7"/>
    <w:rsid w:val="0058798C"/>
    <w:rsid w:val="005900FA"/>
    <w:rsid w:val="005935A4"/>
    <w:rsid w:val="005942AD"/>
    <w:rsid w:val="005948C2"/>
    <w:rsid w:val="00595DCA"/>
    <w:rsid w:val="0059779B"/>
    <w:rsid w:val="005A209A"/>
    <w:rsid w:val="005A44A0"/>
    <w:rsid w:val="005A4C2C"/>
    <w:rsid w:val="005A4E63"/>
    <w:rsid w:val="005A5092"/>
    <w:rsid w:val="005A662D"/>
    <w:rsid w:val="005B35D7"/>
    <w:rsid w:val="005B392A"/>
    <w:rsid w:val="005B3AA3"/>
    <w:rsid w:val="005B6F83"/>
    <w:rsid w:val="005C74FB"/>
    <w:rsid w:val="005D1602"/>
    <w:rsid w:val="005E385F"/>
    <w:rsid w:val="005E5B81"/>
    <w:rsid w:val="005E7862"/>
    <w:rsid w:val="005F2CB1"/>
    <w:rsid w:val="005F3025"/>
    <w:rsid w:val="005F4D03"/>
    <w:rsid w:val="005F618C"/>
    <w:rsid w:val="005F70BD"/>
    <w:rsid w:val="006014FB"/>
    <w:rsid w:val="0060283C"/>
    <w:rsid w:val="00604F14"/>
    <w:rsid w:val="00605F62"/>
    <w:rsid w:val="00611B83"/>
    <w:rsid w:val="00613257"/>
    <w:rsid w:val="006135C5"/>
    <w:rsid w:val="0062064D"/>
    <w:rsid w:val="00620A71"/>
    <w:rsid w:val="00620AF8"/>
    <w:rsid w:val="00620D80"/>
    <w:rsid w:val="006234A6"/>
    <w:rsid w:val="00624D23"/>
    <w:rsid w:val="00630001"/>
    <w:rsid w:val="006311B3"/>
    <w:rsid w:val="0063284C"/>
    <w:rsid w:val="00632F13"/>
    <w:rsid w:val="00636398"/>
    <w:rsid w:val="006368D3"/>
    <w:rsid w:val="006377EC"/>
    <w:rsid w:val="0064151F"/>
    <w:rsid w:val="00641533"/>
    <w:rsid w:val="0064208D"/>
    <w:rsid w:val="00643475"/>
    <w:rsid w:val="0064396A"/>
    <w:rsid w:val="00644FB2"/>
    <w:rsid w:val="0064624E"/>
    <w:rsid w:val="00650AB9"/>
    <w:rsid w:val="00651432"/>
    <w:rsid w:val="0065200B"/>
    <w:rsid w:val="00655733"/>
    <w:rsid w:val="00655ACD"/>
    <w:rsid w:val="00656A92"/>
    <w:rsid w:val="00656DDE"/>
    <w:rsid w:val="00657378"/>
    <w:rsid w:val="0066011D"/>
    <w:rsid w:val="006607C0"/>
    <w:rsid w:val="006613A6"/>
    <w:rsid w:val="006627A2"/>
    <w:rsid w:val="006634E6"/>
    <w:rsid w:val="006655EE"/>
    <w:rsid w:val="00667EE7"/>
    <w:rsid w:val="00670922"/>
    <w:rsid w:val="00670BE1"/>
    <w:rsid w:val="006711DD"/>
    <w:rsid w:val="0067218F"/>
    <w:rsid w:val="006741F2"/>
    <w:rsid w:val="00674CC3"/>
    <w:rsid w:val="00675C72"/>
    <w:rsid w:val="006771F9"/>
    <w:rsid w:val="006776D7"/>
    <w:rsid w:val="00677F0F"/>
    <w:rsid w:val="00681003"/>
    <w:rsid w:val="006817C9"/>
    <w:rsid w:val="00683ECE"/>
    <w:rsid w:val="00695FC2"/>
    <w:rsid w:val="00696949"/>
    <w:rsid w:val="00697052"/>
    <w:rsid w:val="006A34E0"/>
    <w:rsid w:val="006A46FB"/>
    <w:rsid w:val="006A5E28"/>
    <w:rsid w:val="006A697B"/>
    <w:rsid w:val="006A7AFF"/>
    <w:rsid w:val="006B1816"/>
    <w:rsid w:val="006B2099"/>
    <w:rsid w:val="006B50CF"/>
    <w:rsid w:val="006B62C8"/>
    <w:rsid w:val="006B7CCF"/>
    <w:rsid w:val="006C03B8"/>
    <w:rsid w:val="006C093C"/>
    <w:rsid w:val="006C5EC9"/>
    <w:rsid w:val="006C6059"/>
    <w:rsid w:val="006C7522"/>
    <w:rsid w:val="006D164C"/>
    <w:rsid w:val="006D2D4C"/>
    <w:rsid w:val="006D5AE3"/>
    <w:rsid w:val="006D6F08"/>
    <w:rsid w:val="006E062C"/>
    <w:rsid w:val="006E28B7"/>
    <w:rsid w:val="006E3310"/>
    <w:rsid w:val="006E4E39"/>
    <w:rsid w:val="006E565E"/>
    <w:rsid w:val="006E673D"/>
    <w:rsid w:val="006E7D3B"/>
    <w:rsid w:val="006F1B70"/>
    <w:rsid w:val="006F2E05"/>
    <w:rsid w:val="006F341D"/>
    <w:rsid w:val="006F3CDE"/>
    <w:rsid w:val="006F58D4"/>
    <w:rsid w:val="0070346E"/>
    <w:rsid w:val="00703DBB"/>
    <w:rsid w:val="00704EDB"/>
    <w:rsid w:val="00704F13"/>
    <w:rsid w:val="0070537F"/>
    <w:rsid w:val="00705504"/>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D3C"/>
    <w:rsid w:val="007445A0"/>
    <w:rsid w:val="0074524B"/>
    <w:rsid w:val="00745F5F"/>
    <w:rsid w:val="00747D8B"/>
    <w:rsid w:val="007504AF"/>
    <w:rsid w:val="00750902"/>
    <w:rsid w:val="00750D72"/>
    <w:rsid w:val="00751228"/>
    <w:rsid w:val="007571E1"/>
    <w:rsid w:val="007604B2"/>
    <w:rsid w:val="007608F6"/>
    <w:rsid w:val="00765281"/>
    <w:rsid w:val="00766BAD"/>
    <w:rsid w:val="007730BD"/>
    <w:rsid w:val="007755F2"/>
    <w:rsid w:val="00776971"/>
    <w:rsid w:val="0078177E"/>
    <w:rsid w:val="0078304C"/>
    <w:rsid w:val="00783673"/>
    <w:rsid w:val="00785490"/>
    <w:rsid w:val="00791BB6"/>
    <w:rsid w:val="007925EA"/>
    <w:rsid w:val="00793CD8"/>
    <w:rsid w:val="00795C92"/>
    <w:rsid w:val="00796231"/>
    <w:rsid w:val="007A1CB3"/>
    <w:rsid w:val="007A306F"/>
    <w:rsid w:val="007A43A6"/>
    <w:rsid w:val="007A58A6"/>
    <w:rsid w:val="007B3D2D"/>
    <w:rsid w:val="007B50AE"/>
    <w:rsid w:val="007B51DF"/>
    <w:rsid w:val="007C05DD"/>
    <w:rsid w:val="007C3186"/>
    <w:rsid w:val="007C3D18"/>
    <w:rsid w:val="007C60BF"/>
    <w:rsid w:val="007C6A07"/>
    <w:rsid w:val="007C75A1"/>
    <w:rsid w:val="007C77A5"/>
    <w:rsid w:val="007C7F7E"/>
    <w:rsid w:val="007D04E5"/>
    <w:rsid w:val="007D080B"/>
    <w:rsid w:val="007D27F1"/>
    <w:rsid w:val="007D5901"/>
    <w:rsid w:val="007D5A16"/>
    <w:rsid w:val="007D5BB1"/>
    <w:rsid w:val="007D7526"/>
    <w:rsid w:val="007E4610"/>
    <w:rsid w:val="007E4715"/>
    <w:rsid w:val="007E505B"/>
    <w:rsid w:val="007E6645"/>
    <w:rsid w:val="007E7091"/>
    <w:rsid w:val="008039C6"/>
    <w:rsid w:val="00803FAE"/>
    <w:rsid w:val="00805B67"/>
    <w:rsid w:val="0080605F"/>
    <w:rsid w:val="00807786"/>
    <w:rsid w:val="008105BE"/>
    <w:rsid w:val="00810E4C"/>
    <w:rsid w:val="00811FCB"/>
    <w:rsid w:val="008158D6"/>
    <w:rsid w:val="00817196"/>
    <w:rsid w:val="00817EDE"/>
    <w:rsid w:val="008235DB"/>
    <w:rsid w:val="00824AB4"/>
    <w:rsid w:val="00825C42"/>
    <w:rsid w:val="00825D25"/>
    <w:rsid w:val="00827D6F"/>
    <w:rsid w:val="0083537A"/>
    <w:rsid w:val="0083622F"/>
    <w:rsid w:val="00836CD4"/>
    <w:rsid w:val="008376AC"/>
    <w:rsid w:val="008444E8"/>
    <w:rsid w:val="00844E80"/>
    <w:rsid w:val="00846FE7"/>
    <w:rsid w:val="00850CEC"/>
    <w:rsid w:val="00851649"/>
    <w:rsid w:val="00856911"/>
    <w:rsid w:val="008677FD"/>
    <w:rsid w:val="008706D4"/>
    <w:rsid w:val="00870F8A"/>
    <w:rsid w:val="008719A4"/>
    <w:rsid w:val="00871D23"/>
    <w:rsid w:val="00874312"/>
    <w:rsid w:val="0087437C"/>
    <w:rsid w:val="00875CD7"/>
    <w:rsid w:val="00876B4D"/>
    <w:rsid w:val="00877F18"/>
    <w:rsid w:val="00894A88"/>
    <w:rsid w:val="00895386"/>
    <w:rsid w:val="008A0B94"/>
    <w:rsid w:val="008A21FF"/>
    <w:rsid w:val="008A2CE2"/>
    <w:rsid w:val="008A30AC"/>
    <w:rsid w:val="008A42A7"/>
    <w:rsid w:val="008A44B8"/>
    <w:rsid w:val="008A51A8"/>
    <w:rsid w:val="008A54C7"/>
    <w:rsid w:val="008A77D8"/>
    <w:rsid w:val="008B0483"/>
    <w:rsid w:val="008B120C"/>
    <w:rsid w:val="008B51A0"/>
    <w:rsid w:val="008B592A"/>
    <w:rsid w:val="008B7B5C"/>
    <w:rsid w:val="008C0C99"/>
    <w:rsid w:val="008C2017"/>
    <w:rsid w:val="008C4958"/>
    <w:rsid w:val="008C4BAA"/>
    <w:rsid w:val="008C5D47"/>
    <w:rsid w:val="008C6AE8"/>
    <w:rsid w:val="008C7573"/>
    <w:rsid w:val="008D34F1"/>
    <w:rsid w:val="008D39D8"/>
    <w:rsid w:val="008D4516"/>
    <w:rsid w:val="008D6D1A"/>
    <w:rsid w:val="008E065E"/>
    <w:rsid w:val="008E0927"/>
    <w:rsid w:val="008E1909"/>
    <w:rsid w:val="008E6F53"/>
    <w:rsid w:val="008F1EAB"/>
    <w:rsid w:val="008F33DC"/>
    <w:rsid w:val="008F477F"/>
    <w:rsid w:val="00902350"/>
    <w:rsid w:val="0090336B"/>
    <w:rsid w:val="009037C6"/>
    <w:rsid w:val="009053AA"/>
    <w:rsid w:val="00906939"/>
    <w:rsid w:val="00910B7D"/>
    <w:rsid w:val="00911DFB"/>
    <w:rsid w:val="009139D9"/>
    <w:rsid w:val="00914AD8"/>
    <w:rsid w:val="00916079"/>
    <w:rsid w:val="00917CE9"/>
    <w:rsid w:val="00920BF2"/>
    <w:rsid w:val="00922010"/>
    <w:rsid w:val="009259B1"/>
    <w:rsid w:val="00931BD9"/>
    <w:rsid w:val="00933117"/>
    <w:rsid w:val="009368F3"/>
    <w:rsid w:val="00940798"/>
    <w:rsid w:val="00941636"/>
    <w:rsid w:val="00943742"/>
    <w:rsid w:val="00945C05"/>
    <w:rsid w:val="00946945"/>
    <w:rsid w:val="00947713"/>
    <w:rsid w:val="00950DE7"/>
    <w:rsid w:val="00953920"/>
    <w:rsid w:val="00953D47"/>
    <w:rsid w:val="0095681E"/>
    <w:rsid w:val="009572D4"/>
    <w:rsid w:val="009612DE"/>
    <w:rsid w:val="00961921"/>
    <w:rsid w:val="0096430A"/>
    <w:rsid w:val="0096554B"/>
    <w:rsid w:val="0096584A"/>
    <w:rsid w:val="00967EAA"/>
    <w:rsid w:val="00971F08"/>
    <w:rsid w:val="0097603D"/>
    <w:rsid w:val="009768FC"/>
    <w:rsid w:val="00976949"/>
    <w:rsid w:val="00980477"/>
    <w:rsid w:val="00985253"/>
    <w:rsid w:val="009853B3"/>
    <w:rsid w:val="00990630"/>
    <w:rsid w:val="00991761"/>
    <w:rsid w:val="00994DCA"/>
    <w:rsid w:val="00995EB8"/>
    <w:rsid w:val="009960EC"/>
    <w:rsid w:val="009970DD"/>
    <w:rsid w:val="009A0FBA"/>
    <w:rsid w:val="009A1601"/>
    <w:rsid w:val="009A462D"/>
    <w:rsid w:val="009A5CBA"/>
    <w:rsid w:val="009B1F30"/>
    <w:rsid w:val="009B3AC2"/>
    <w:rsid w:val="009B4DF4"/>
    <w:rsid w:val="009B564E"/>
    <w:rsid w:val="009B7E87"/>
    <w:rsid w:val="009C403E"/>
    <w:rsid w:val="009D2531"/>
    <w:rsid w:val="009D4FF0"/>
    <w:rsid w:val="009D703C"/>
    <w:rsid w:val="009D718F"/>
    <w:rsid w:val="009E068F"/>
    <w:rsid w:val="009E14E0"/>
    <w:rsid w:val="009E35DB"/>
    <w:rsid w:val="009E47A3"/>
    <w:rsid w:val="009F08F3"/>
    <w:rsid w:val="009F1ECE"/>
    <w:rsid w:val="009F344F"/>
    <w:rsid w:val="00A016EB"/>
    <w:rsid w:val="00A03752"/>
    <w:rsid w:val="00A048A8"/>
    <w:rsid w:val="00A04F49"/>
    <w:rsid w:val="00A13E54"/>
    <w:rsid w:val="00A17F63"/>
    <w:rsid w:val="00A20062"/>
    <w:rsid w:val="00A2193B"/>
    <w:rsid w:val="00A219BB"/>
    <w:rsid w:val="00A2351A"/>
    <w:rsid w:val="00A264A9"/>
    <w:rsid w:val="00A2727F"/>
    <w:rsid w:val="00A27785"/>
    <w:rsid w:val="00A30187"/>
    <w:rsid w:val="00A3448A"/>
    <w:rsid w:val="00A35411"/>
    <w:rsid w:val="00A36297"/>
    <w:rsid w:val="00A36902"/>
    <w:rsid w:val="00A41E2B"/>
    <w:rsid w:val="00A45B74"/>
    <w:rsid w:val="00A52E1D"/>
    <w:rsid w:val="00A61499"/>
    <w:rsid w:val="00A62A77"/>
    <w:rsid w:val="00A63483"/>
    <w:rsid w:val="00A657D7"/>
    <w:rsid w:val="00A65FBE"/>
    <w:rsid w:val="00A660AC"/>
    <w:rsid w:val="00A67E6C"/>
    <w:rsid w:val="00A71B99"/>
    <w:rsid w:val="00A739D0"/>
    <w:rsid w:val="00A761D4"/>
    <w:rsid w:val="00A77EC4"/>
    <w:rsid w:val="00A91036"/>
    <w:rsid w:val="00A9191C"/>
    <w:rsid w:val="00A92879"/>
    <w:rsid w:val="00A9442A"/>
    <w:rsid w:val="00A9622F"/>
    <w:rsid w:val="00AA016F"/>
    <w:rsid w:val="00AA15D3"/>
    <w:rsid w:val="00AA1ED6"/>
    <w:rsid w:val="00AA51D6"/>
    <w:rsid w:val="00AB0BC8"/>
    <w:rsid w:val="00AB11CA"/>
    <w:rsid w:val="00AB14D9"/>
    <w:rsid w:val="00AB4AB8"/>
    <w:rsid w:val="00AB655E"/>
    <w:rsid w:val="00AC007F"/>
    <w:rsid w:val="00AC2ECD"/>
    <w:rsid w:val="00AC3119"/>
    <w:rsid w:val="00AC49FB"/>
    <w:rsid w:val="00AC5A10"/>
    <w:rsid w:val="00AD0AA3"/>
    <w:rsid w:val="00AD2486"/>
    <w:rsid w:val="00AD37C6"/>
    <w:rsid w:val="00AD3F94"/>
    <w:rsid w:val="00AD4A5A"/>
    <w:rsid w:val="00AE27AC"/>
    <w:rsid w:val="00AE40E0"/>
    <w:rsid w:val="00AE4DBA"/>
    <w:rsid w:val="00AE4F07"/>
    <w:rsid w:val="00AE55DB"/>
    <w:rsid w:val="00AF1C5D"/>
    <w:rsid w:val="00AF2CB4"/>
    <w:rsid w:val="00AF42D7"/>
    <w:rsid w:val="00AF7335"/>
    <w:rsid w:val="00B006FE"/>
    <w:rsid w:val="00B007CB"/>
    <w:rsid w:val="00B01A74"/>
    <w:rsid w:val="00B02AA9"/>
    <w:rsid w:val="00B02FA3"/>
    <w:rsid w:val="00B05084"/>
    <w:rsid w:val="00B062C4"/>
    <w:rsid w:val="00B157F9"/>
    <w:rsid w:val="00B16335"/>
    <w:rsid w:val="00B167F1"/>
    <w:rsid w:val="00B20256"/>
    <w:rsid w:val="00B20D09"/>
    <w:rsid w:val="00B2763F"/>
    <w:rsid w:val="00B27AAC"/>
    <w:rsid w:val="00B30929"/>
    <w:rsid w:val="00B32FD9"/>
    <w:rsid w:val="00B372AA"/>
    <w:rsid w:val="00B40445"/>
    <w:rsid w:val="00B41888"/>
    <w:rsid w:val="00B42BDB"/>
    <w:rsid w:val="00B45A52"/>
    <w:rsid w:val="00B46175"/>
    <w:rsid w:val="00B46271"/>
    <w:rsid w:val="00B522D6"/>
    <w:rsid w:val="00B56FD8"/>
    <w:rsid w:val="00B62AAA"/>
    <w:rsid w:val="00B664C7"/>
    <w:rsid w:val="00B739F6"/>
    <w:rsid w:val="00B73BBD"/>
    <w:rsid w:val="00B80AF1"/>
    <w:rsid w:val="00B81A6C"/>
    <w:rsid w:val="00B83565"/>
    <w:rsid w:val="00B84128"/>
    <w:rsid w:val="00B8436E"/>
    <w:rsid w:val="00B85DE5"/>
    <w:rsid w:val="00B90781"/>
    <w:rsid w:val="00B90F73"/>
    <w:rsid w:val="00B922AD"/>
    <w:rsid w:val="00B92596"/>
    <w:rsid w:val="00B93B59"/>
    <w:rsid w:val="00B9406A"/>
    <w:rsid w:val="00BA2280"/>
    <w:rsid w:val="00BA22E0"/>
    <w:rsid w:val="00BA2A08"/>
    <w:rsid w:val="00BA56D2"/>
    <w:rsid w:val="00BA76E0"/>
    <w:rsid w:val="00BB2A25"/>
    <w:rsid w:val="00BB51E9"/>
    <w:rsid w:val="00BC015A"/>
    <w:rsid w:val="00BC0FDC"/>
    <w:rsid w:val="00BC3053"/>
    <w:rsid w:val="00BC4D2E"/>
    <w:rsid w:val="00BC6B43"/>
    <w:rsid w:val="00BD48AC"/>
    <w:rsid w:val="00BD5F1A"/>
    <w:rsid w:val="00BE1234"/>
    <w:rsid w:val="00BE2FA6"/>
    <w:rsid w:val="00BE333F"/>
    <w:rsid w:val="00BE40AE"/>
    <w:rsid w:val="00BE7406"/>
    <w:rsid w:val="00BE7603"/>
    <w:rsid w:val="00BF3279"/>
    <w:rsid w:val="00BF74C7"/>
    <w:rsid w:val="00C015F1"/>
    <w:rsid w:val="00C01F33"/>
    <w:rsid w:val="00C02CC6"/>
    <w:rsid w:val="00C040F7"/>
    <w:rsid w:val="00C041B0"/>
    <w:rsid w:val="00C044AB"/>
    <w:rsid w:val="00C05706"/>
    <w:rsid w:val="00C07377"/>
    <w:rsid w:val="00C0763B"/>
    <w:rsid w:val="00C10478"/>
    <w:rsid w:val="00C12107"/>
    <w:rsid w:val="00C14D4B"/>
    <w:rsid w:val="00C154BB"/>
    <w:rsid w:val="00C26FAA"/>
    <w:rsid w:val="00C279B5"/>
    <w:rsid w:val="00C27C45"/>
    <w:rsid w:val="00C3719D"/>
    <w:rsid w:val="00C50004"/>
    <w:rsid w:val="00C52224"/>
    <w:rsid w:val="00C54995"/>
    <w:rsid w:val="00C54D41"/>
    <w:rsid w:val="00C60783"/>
    <w:rsid w:val="00C64672"/>
    <w:rsid w:val="00C70697"/>
    <w:rsid w:val="00C70ACB"/>
    <w:rsid w:val="00C72EF4"/>
    <w:rsid w:val="00C73AB8"/>
    <w:rsid w:val="00C75D2F"/>
    <w:rsid w:val="00C767BE"/>
    <w:rsid w:val="00C76963"/>
    <w:rsid w:val="00C76E3C"/>
    <w:rsid w:val="00C80010"/>
    <w:rsid w:val="00C81568"/>
    <w:rsid w:val="00C86F12"/>
    <w:rsid w:val="00C87F77"/>
    <w:rsid w:val="00C9027A"/>
    <w:rsid w:val="00C9068E"/>
    <w:rsid w:val="00C90F20"/>
    <w:rsid w:val="00C93C4B"/>
    <w:rsid w:val="00C944AB"/>
    <w:rsid w:val="00C95B40"/>
    <w:rsid w:val="00CA1ED8"/>
    <w:rsid w:val="00CA4418"/>
    <w:rsid w:val="00CB1F63"/>
    <w:rsid w:val="00CB5D0B"/>
    <w:rsid w:val="00CB7170"/>
    <w:rsid w:val="00CC040E"/>
    <w:rsid w:val="00CC111F"/>
    <w:rsid w:val="00CC2011"/>
    <w:rsid w:val="00CC2876"/>
    <w:rsid w:val="00CC3EA0"/>
    <w:rsid w:val="00CC7B45"/>
    <w:rsid w:val="00CD1188"/>
    <w:rsid w:val="00CD28DB"/>
    <w:rsid w:val="00CD2ED1"/>
    <w:rsid w:val="00CD337B"/>
    <w:rsid w:val="00CD45FB"/>
    <w:rsid w:val="00CE0424"/>
    <w:rsid w:val="00CE193E"/>
    <w:rsid w:val="00CE22E4"/>
    <w:rsid w:val="00CE7561"/>
    <w:rsid w:val="00CF0C35"/>
    <w:rsid w:val="00CF1354"/>
    <w:rsid w:val="00CF3B1F"/>
    <w:rsid w:val="00CF3BF6"/>
    <w:rsid w:val="00CF625B"/>
    <w:rsid w:val="00CF687E"/>
    <w:rsid w:val="00D0349B"/>
    <w:rsid w:val="00D04434"/>
    <w:rsid w:val="00D10166"/>
    <w:rsid w:val="00D10249"/>
    <w:rsid w:val="00D115C3"/>
    <w:rsid w:val="00D11600"/>
    <w:rsid w:val="00D11897"/>
    <w:rsid w:val="00D13135"/>
    <w:rsid w:val="00D13E4E"/>
    <w:rsid w:val="00D22C50"/>
    <w:rsid w:val="00D239A7"/>
    <w:rsid w:val="00D23F47"/>
    <w:rsid w:val="00D3005B"/>
    <w:rsid w:val="00D33536"/>
    <w:rsid w:val="00D36E71"/>
    <w:rsid w:val="00D37D87"/>
    <w:rsid w:val="00D40B33"/>
    <w:rsid w:val="00D4318F"/>
    <w:rsid w:val="00D438BF"/>
    <w:rsid w:val="00D440F8"/>
    <w:rsid w:val="00D4675D"/>
    <w:rsid w:val="00D546FF"/>
    <w:rsid w:val="00D55AD5"/>
    <w:rsid w:val="00D576CA"/>
    <w:rsid w:val="00D60E13"/>
    <w:rsid w:val="00D61AF5"/>
    <w:rsid w:val="00D62CD5"/>
    <w:rsid w:val="00D6435F"/>
    <w:rsid w:val="00D652B5"/>
    <w:rsid w:val="00D66155"/>
    <w:rsid w:val="00D67E39"/>
    <w:rsid w:val="00D708B0"/>
    <w:rsid w:val="00D71973"/>
    <w:rsid w:val="00D774F7"/>
    <w:rsid w:val="00D77B1D"/>
    <w:rsid w:val="00D8021F"/>
    <w:rsid w:val="00D80383"/>
    <w:rsid w:val="00D812CC"/>
    <w:rsid w:val="00D81962"/>
    <w:rsid w:val="00D823C6"/>
    <w:rsid w:val="00D86CA3"/>
    <w:rsid w:val="00D871CE"/>
    <w:rsid w:val="00D9196D"/>
    <w:rsid w:val="00D92982"/>
    <w:rsid w:val="00D966F7"/>
    <w:rsid w:val="00D96792"/>
    <w:rsid w:val="00DA305E"/>
    <w:rsid w:val="00DA4AF0"/>
    <w:rsid w:val="00DA5007"/>
    <w:rsid w:val="00DA5417"/>
    <w:rsid w:val="00DA56E8"/>
    <w:rsid w:val="00DA6D78"/>
    <w:rsid w:val="00DB0A9F"/>
    <w:rsid w:val="00DB377D"/>
    <w:rsid w:val="00DC2D36"/>
    <w:rsid w:val="00DC53EF"/>
    <w:rsid w:val="00DD1DBC"/>
    <w:rsid w:val="00DD4591"/>
    <w:rsid w:val="00DE5608"/>
    <w:rsid w:val="00DE58D0"/>
    <w:rsid w:val="00DE654F"/>
    <w:rsid w:val="00DF0B6E"/>
    <w:rsid w:val="00DF15E0"/>
    <w:rsid w:val="00DF37A0"/>
    <w:rsid w:val="00E017C1"/>
    <w:rsid w:val="00E110E7"/>
    <w:rsid w:val="00E11B20"/>
    <w:rsid w:val="00E14253"/>
    <w:rsid w:val="00E14F8B"/>
    <w:rsid w:val="00E14FED"/>
    <w:rsid w:val="00E17FA2"/>
    <w:rsid w:val="00E22330"/>
    <w:rsid w:val="00E22568"/>
    <w:rsid w:val="00E26F73"/>
    <w:rsid w:val="00E30B5A"/>
    <w:rsid w:val="00E3123D"/>
    <w:rsid w:val="00E31461"/>
    <w:rsid w:val="00E31D43"/>
    <w:rsid w:val="00E32608"/>
    <w:rsid w:val="00E34188"/>
    <w:rsid w:val="00E345CD"/>
    <w:rsid w:val="00E34725"/>
    <w:rsid w:val="00E34B6E"/>
    <w:rsid w:val="00E35559"/>
    <w:rsid w:val="00E3723A"/>
    <w:rsid w:val="00E37860"/>
    <w:rsid w:val="00E42C9E"/>
    <w:rsid w:val="00E446F1"/>
    <w:rsid w:val="00E44725"/>
    <w:rsid w:val="00E46886"/>
    <w:rsid w:val="00E47AEF"/>
    <w:rsid w:val="00E51896"/>
    <w:rsid w:val="00E53B75"/>
    <w:rsid w:val="00E54E3B"/>
    <w:rsid w:val="00E54F45"/>
    <w:rsid w:val="00E5601A"/>
    <w:rsid w:val="00E57565"/>
    <w:rsid w:val="00E622B1"/>
    <w:rsid w:val="00E63838"/>
    <w:rsid w:val="00E63F9C"/>
    <w:rsid w:val="00E64434"/>
    <w:rsid w:val="00E668D9"/>
    <w:rsid w:val="00E671DC"/>
    <w:rsid w:val="00E67C51"/>
    <w:rsid w:val="00E72EFC"/>
    <w:rsid w:val="00E758EC"/>
    <w:rsid w:val="00E8234C"/>
    <w:rsid w:val="00E83AA9"/>
    <w:rsid w:val="00E85928"/>
    <w:rsid w:val="00E87822"/>
    <w:rsid w:val="00E90395"/>
    <w:rsid w:val="00E90E49"/>
    <w:rsid w:val="00E917F9"/>
    <w:rsid w:val="00E9291C"/>
    <w:rsid w:val="00E93FFE"/>
    <w:rsid w:val="00E940A9"/>
    <w:rsid w:val="00E94DE9"/>
    <w:rsid w:val="00E94F8A"/>
    <w:rsid w:val="00EA6261"/>
    <w:rsid w:val="00EA7A41"/>
    <w:rsid w:val="00EB077B"/>
    <w:rsid w:val="00EB4EA2"/>
    <w:rsid w:val="00EC27C6"/>
    <w:rsid w:val="00EC4207"/>
    <w:rsid w:val="00EC5653"/>
    <w:rsid w:val="00EC60B5"/>
    <w:rsid w:val="00EC71CE"/>
    <w:rsid w:val="00ED1006"/>
    <w:rsid w:val="00ED18F3"/>
    <w:rsid w:val="00EE48A9"/>
    <w:rsid w:val="00EE6055"/>
    <w:rsid w:val="00EF18FE"/>
    <w:rsid w:val="00EF54B4"/>
    <w:rsid w:val="00EF5787"/>
    <w:rsid w:val="00EF60D0"/>
    <w:rsid w:val="00EF6DC4"/>
    <w:rsid w:val="00F0528D"/>
    <w:rsid w:val="00F06C67"/>
    <w:rsid w:val="00F06DFD"/>
    <w:rsid w:val="00F071D1"/>
    <w:rsid w:val="00F07533"/>
    <w:rsid w:val="00F10629"/>
    <w:rsid w:val="00F135DC"/>
    <w:rsid w:val="00F15FA5"/>
    <w:rsid w:val="00F209B7"/>
    <w:rsid w:val="00F20D6F"/>
    <w:rsid w:val="00F2376F"/>
    <w:rsid w:val="00F243D8"/>
    <w:rsid w:val="00F30828"/>
    <w:rsid w:val="00F313D6"/>
    <w:rsid w:val="00F40F0C"/>
    <w:rsid w:val="00F46EB2"/>
    <w:rsid w:val="00F4766C"/>
    <w:rsid w:val="00F5064F"/>
    <w:rsid w:val="00F507D1"/>
    <w:rsid w:val="00F519CE"/>
    <w:rsid w:val="00F51ADA"/>
    <w:rsid w:val="00F607C5"/>
    <w:rsid w:val="00F60DEA"/>
    <w:rsid w:val="00F61080"/>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37F"/>
    <w:rsid w:val="00F96985"/>
    <w:rsid w:val="00F96C7A"/>
    <w:rsid w:val="00F97838"/>
    <w:rsid w:val="00FA2BB3"/>
    <w:rsid w:val="00FB4C80"/>
    <w:rsid w:val="00FB6A6A"/>
    <w:rsid w:val="00FC4AD0"/>
    <w:rsid w:val="00FC7429"/>
    <w:rsid w:val="00FD07F6"/>
    <w:rsid w:val="00FD1EC8"/>
    <w:rsid w:val="00FD3FB3"/>
    <w:rsid w:val="00FD47ED"/>
    <w:rsid w:val="00FD74DB"/>
    <w:rsid w:val="00FD7660"/>
    <w:rsid w:val="00FE0655"/>
    <w:rsid w:val="00FE13D7"/>
    <w:rsid w:val="00FE2365"/>
    <w:rsid w:val="00FE4C7B"/>
    <w:rsid w:val="00FE71D3"/>
    <w:rsid w:val="00FE7336"/>
    <w:rsid w:val="00FE787C"/>
    <w:rsid w:val="00FE78C9"/>
    <w:rsid w:val="00FF45A5"/>
    <w:rsid w:val="00FF596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E26F73"/>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242EF5"/>
    <w:pPr>
      <w:overflowPunct/>
      <w:autoSpaceDE/>
      <w:autoSpaceDN/>
      <w:adjustRightInd/>
      <w:spacing w:after="0"/>
      <w:ind w:left="720"/>
      <w:contextualSpacing/>
      <w:jc w:val="left"/>
      <w:textAlignment w:val="auto"/>
    </w:pPr>
    <w:rPr>
      <w:rFonts w:ascii="Times New Roman" w:hAnsi="Times New Roman"/>
      <w:sz w:val="24"/>
      <w:szCs w:val="24"/>
      <w:lang w:val="en-US"/>
    </w:rPr>
  </w:style>
  <w:style w:type="table" w:styleId="TableGrid">
    <w:name w:val="Table Grid"/>
    <w:basedOn w:val="TableNormal"/>
    <w:rsid w:val="0024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42E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2EF5"/>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A74"/>
    <w:rPr>
      <w:rFonts w:ascii="Arial" w:hAnsi="Arial" w:cs="Arial"/>
      <w:b/>
      <w:bCs/>
      <w:noProof/>
      <w:sz w:val="18"/>
      <w:szCs w:val="18"/>
    </w:rPr>
  </w:style>
  <w:style w:type="paragraph" w:styleId="Revision">
    <w:name w:val="Revision"/>
    <w:hidden/>
    <w:uiPriority w:val="99"/>
    <w:semiHidden/>
    <w:rsid w:val="00C73AB8"/>
    <w:rPr>
      <w:rFonts w:ascii="Arial" w:hAnsi="Arial"/>
      <w:lang w:val="en-GB"/>
    </w:rPr>
  </w:style>
  <w:style w:type="paragraph" w:styleId="TOCHeading">
    <w:name w:val="TOC Heading"/>
    <w:basedOn w:val="Heading1"/>
    <w:next w:val="Normal"/>
    <w:uiPriority w:val="39"/>
    <w:unhideWhenUsed/>
    <w:qFormat/>
    <w:rsid w:val="00254775"/>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787">
      <w:bodyDiv w:val="1"/>
      <w:marLeft w:val="0"/>
      <w:marRight w:val="0"/>
      <w:marTop w:val="0"/>
      <w:marBottom w:val="0"/>
      <w:divBdr>
        <w:top w:val="none" w:sz="0" w:space="0" w:color="auto"/>
        <w:left w:val="none" w:sz="0" w:space="0" w:color="auto"/>
        <w:bottom w:val="none" w:sz="0" w:space="0" w:color="auto"/>
        <w:right w:val="none" w:sz="0" w:space="0" w:color="auto"/>
      </w:divBdr>
      <w:divsChild>
        <w:div w:id="1032801002">
          <w:marLeft w:val="835"/>
          <w:marRight w:val="0"/>
          <w:marTop w:val="67"/>
          <w:marBottom w:val="0"/>
          <w:divBdr>
            <w:top w:val="none" w:sz="0" w:space="0" w:color="auto"/>
            <w:left w:val="none" w:sz="0" w:space="0" w:color="auto"/>
            <w:bottom w:val="none" w:sz="0" w:space="0" w:color="auto"/>
            <w:right w:val="none" w:sz="0" w:space="0" w:color="auto"/>
          </w:divBdr>
        </w:div>
        <w:div w:id="1051539254">
          <w:marLeft w:val="835"/>
          <w:marRight w:val="0"/>
          <w:marTop w:val="67"/>
          <w:marBottom w:val="0"/>
          <w:divBdr>
            <w:top w:val="none" w:sz="0" w:space="0" w:color="auto"/>
            <w:left w:val="none" w:sz="0" w:space="0" w:color="auto"/>
            <w:bottom w:val="none" w:sz="0" w:space="0" w:color="auto"/>
            <w:right w:val="none" w:sz="0" w:space="0" w:color="auto"/>
          </w:divBdr>
        </w:div>
        <w:div w:id="1097672093">
          <w:marLeft w:val="835"/>
          <w:marRight w:val="0"/>
          <w:marTop w:val="67"/>
          <w:marBottom w:val="0"/>
          <w:divBdr>
            <w:top w:val="none" w:sz="0" w:space="0" w:color="auto"/>
            <w:left w:val="none" w:sz="0" w:space="0" w:color="auto"/>
            <w:bottom w:val="none" w:sz="0" w:space="0" w:color="auto"/>
            <w:right w:val="none" w:sz="0" w:space="0" w:color="auto"/>
          </w:divBdr>
        </w:div>
        <w:div w:id="1404525410">
          <w:marLeft w:val="274"/>
          <w:marRight w:val="0"/>
          <w:marTop w:val="77"/>
          <w:marBottom w:val="0"/>
          <w:divBdr>
            <w:top w:val="none" w:sz="0" w:space="0" w:color="auto"/>
            <w:left w:val="none" w:sz="0" w:space="0" w:color="auto"/>
            <w:bottom w:val="none" w:sz="0" w:space="0" w:color="auto"/>
            <w:right w:val="none" w:sz="0" w:space="0" w:color="auto"/>
          </w:divBdr>
        </w:div>
      </w:divsChild>
    </w:div>
    <w:div w:id="144250836">
      <w:bodyDiv w:val="1"/>
      <w:marLeft w:val="0"/>
      <w:marRight w:val="0"/>
      <w:marTop w:val="0"/>
      <w:marBottom w:val="0"/>
      <w:divBdr>
        <w:top w:val="none" w:sz="0" w:space="0" w:color="auto"/>
        <w:left w:val="none" w:sz="0" w:space="0" w:color="auto"/>
        <w:bottom w:val="none" w:sz="0" w:space="0" w:color="auto"/>
        <w:right w:val="none" w:sz="0" w:space="0" w:color="auto"/>
      </w:divBdr>
    </w:div>
    <w:div w:id="194781037">
      <w:bodyDiv w:val="1"/>
      <w:marLeft w:val="0"/>
      <w:marRight w:val="0"/>
      <w:marTop w:val="0"/>
      <w:marBottom w:val="0"/>
      <w:divBdr>
        <w:top w:val="none" w:sz="0" w:space="0" w:color="auto"/>
        <w:left w:val="none" w:sz="0" w:space="0" w:color="auto"/>
        <w:bottom w:val="none" w:sz="0" w:space="0" w:color="auto"/>
        <w:right w:val="none" w:sz="0" w:space="0" w:color="auto"/>
      </w:divBdr>
      <w:divsChild>
        <w:div w:id="246814024">
          <w:marLeft w:val="274"/>
          <w:marRight w:val="0"/>
          <w:marTop w:val="115"/>
          <w:marBottom w:val="0"/>
          <w:divBdr>
            <w:top w:val="none" w:sz="0" w:space="0" w:color="auto"/>
            <w:left w:val="none" w:sz="0" w:space="0" w:color="auto"/>
            <w:bottom w:val="none" w:sz="0" w:space="0" w:color="auto"/>
            <w:right w:val="none" w:sz="0" w:space="0" w:color="auto"/>
          </w:divBdr>
        </w:div>
        <w:div w:id="834686839">
          <w:marLeft w:val="274"/>
          <w:marRight w:val="0"/>
          <w:marTop w:val="115"/>
          <w:marBottom w:val="0"/>
          <w:divBdr>
            <w:top w:val="none" w:sz="0" w:space="0" w:color="auto"/>
            <w:left w:val="none" w:sz="0" w:space="0" w:color="auto"/>
            <w:bottom w:val="none" w:sz="0" w:space="0" w:color="auto"/>
            <w:right w:val="none" w:sz="0" w:space="0" w:color="auto"/>
          </w:divBdr>
        </w:div>
        <w:div w:id="1246836730">
          <w:marLeft w:val="274"/>
          <w:marRight w:val="0"/>
          <w:marTop w:val="115"/>
          <w:marBottom w:val="0"/>
          <w:divBdr>
            <w:top w:val="none" w:sz="0" w:space="0" w:color="auto"/>
            <w:left w:val="none" w:sz="0" w:space="0" w:color="auto"/>
            <w:bottom w:val="none" w:sz="0" w:space="0" w:color="auto"/>
            <w:right w:val="none" w:sz="0" w:space="0" w:color="auto"/>
          </w:divBdr>
        </w:div>
        <w:div w:id="2006860756">
          <w:marLeft w:val="274"/>
          <w:marRight w:val="0"/>
          <w:marTop w:val="115"/>
          <w:marBottom w:val="0"/>
          <w:divBdr>
            <w:top w:val="none" w:sz="0" w:space="0" w:color="auto"/>
            <w:left w:val="none" w:sz="0" w:space="0" w:color="auto"/>
            <w:bottom w:val="none" w:sz="0" w:space="0" w:color="auto"/>
            <w:right w:val="none" w:sz="0" w:space="0" w:color="auto"/>
          </w:divBdr>
        </w:div>
      </w:divsChild>
    </w:div>
    <w:div w:id="430247137">
      <w:bodyDiv w:val="1"/>
      <w:marLeft w:val="0"/>
      <w:marRight w:val="0"/>
      <w:marTop w:val="0"/>
      <w:marBottom w:val="0"/>
      <w:divBdr>
        <w:top w:val="none" w:sz="0" w:space="0" w:color="auto"/>
        <w:left w:val="none" w:sz="0" w:space="0" w:color="auto"/>
        <w:bottom w:val="none" w:sz="0" w:space="0" w:color="auto"/>
        <w:right w:val="none" w:sz="0" w:space="0" w:color="auto"/>
      </w:divBdr>
      <w:divsChild>
        <w:div w:id="461652405">
          <w:marLeft w:val="274"/>
          <w:marRight w:val="0"/>
          <w:marTop w:val="96"/>
          <w:marBottom w:val="0"/>
          <w:divBdr>
            <w:top w:val="none" w:sz="0" w:space="0" w:color="auto"/>
            <w:left w:val="none" w:sz="0" w:space="0" w:color="auto"/>
            <w:bottom w:val="none" w:sz="0" w:space="0" w:color="auto"/>
            <w:right w:val="none" w:sz="0" w:space="0" w:color="auto"/>
          </w:divBdr>
        </w:div>
        <w:div w:id="697507932">
          <w:marLeft w:val="835"/>
          <w:marRight w:val="0"/>
          <w:marTop w:val="77"/>
          <w:marBottom w:val="0"/>
          <w:divBdr>
            <w:top w:val="none" w:sz="0" w:space="0" w:color="auto"/>
            <w:left w:val="none" w:sz="0" w:space="0" w:color="auto"/>
            <w:bottom w:val="none" w:sz="0" w:space="0" w:color="auto"/>
            <w:right w:val="none" w:sz="0" w:space="0" w:color="auto"/>
          </w:divBdr>
        </w:div>
        <w:div w:id="995185307">
          <w:marLeft w:val="835"/>
          <w:marRight w:val="0"/>
          <w:marTop w:val="77"/>
          <w:marBottom w:val="0"/>
          <w:divBdr>
            <w:top w:val="none" w:sz="0" w:space="0" w:color="auto"/>
            <w:left w:val="none" w:sz="0" w:space="0" w:color="auto"/>
            <w:bottom w:val="none" w:sz="0" w:space="0" w:color="auto"/>
            <w:right w:val="none" w:sz="0" w:space="0" w:color="auto"/>
          </w:divBdr>
        </w:div>
        <w:div w:id="1672903439">
          <w:marLeft w:val="835"/>
          <w:marRight w:val="0"/>
          <w:marTop w:val="77"/>
          <w:marBottom w:val="0"/>
          <w:divBdr>
            <w:top w:val="none" w:sz="0" w:space="0" w:color="auto"/>
            <w:left w:val="none" w:sz="0" w:space="0" w:color="auto"/>
            <w:bottom w:val="none" w:sz="0" w:space="0" w:color="auto"/>
            <w:right w:val="none" w:sz="0" w:space="0" w:color="auto"/>
          </w:divBdr>
        </w:div>
      </w:divsChild>
    </w:div>
    <w:div w:id="790245124">
      <w:bodyDiv w:val="1"/>
      <w:marLeft w:val="0"/>
      <w:marRight w:val="0"/>
      <w:marTop w:val="0"/>
      <w:marBottom w:val="0"/>
      <w:divBdr>
        <w:top w:val="none" w:sz="0" w:space="0" w:color="auto"/>
        <w:left w:val="none" w:sz="0" w:space="0" w:color="auto"/>
        <w:bottom w:val="none" w:sz="0" w:space="0" w:color="auto"/>
        <w:right w:val="none" w:sz="0" w:space="0" w:color="auto"/>
      </w:divBdr>
      <w:divsChild>
        <w:div w:id="286938434">
          <w:marLeft w:val="835"/>
          <w:marRight w:val="0"/>
          <w:marTop w:val="67"/>
          <w:marBottom w:val="0"/>
          <w:divBdr>
            <w:top w:val="none" w:sz="0" w:space="0" w:color="auto"/>
            <w:left w:val="none" w:sz="0" w:space="0" w:color="auto"/>
            <w:bottom w:val="none" w:sz="0" w:space="0" w:color="auto"/>
            <w:right w:val="none" w:sz="0" w:space="0" w:color="auto"/>
          </w:divBdr>
        </w:div>
        <w:div w:id="529345793">
          <w:marLeft w:val="274"/>
          <w:marRight w:val="0"/>
          <w:marTop w:val="77"/>
          <w:marBottom w:val="0"/>
          <w:divBdr>
            <w:top w:val="none" w:sz="0" w:space="0" w:color="auto"/>
            <w:left w:val="none" w:sz="0" w:space="0" w:color="auto"/>
            <w:bottom w:val="none" w:sz="0" w:space="0" w:color="auto"/>
            <w:right w:val="none" w:sz="0" w:space="0" w:color="auto"/>
          </w:divBdr>
        </w:div>
        <w:div w:id="1022903630">
          <w:marLeft w:val="835"/>
          <w:marRight w:val="0"/>
          <w:marTop w:val="67"/>
          <w:marBottom w:val="0"/>
          <w:divBdr>
            <w:top w:val="none" w:sz="0" w:space="0" w:color="auto"/>
            <w:left w:val="none" w:sz="0" w:space="0" w:color="auto"/>
            <w:bottom w:val="none" w:sz="0" w:space="0" w:color="auto"/>
            <w:right w:val="none" w:sz="0" w:space="0" w:color="auto"/>
          </w:divBdr>
        </w:div>
        <w:div w:id="1055617393">
          <w:marLeft w:val="1411"/>
          <w:marRight w:val="0"/>
          <w:marTop w:val="67"/>
          <w:marBottom w:val="0"/>
          <w:divBdr>
            <w:top w:val="none" w:sz="0" w:space="0" w:color="auto"/>
            <w:left w:val="none" w:sz="0" w:space="0" w:color="auto"/>
            <w:bottom w:val="none" w:sz="0" w:space="0" w:color="auto"/>
            <w:right w:val="none" w:sz="0" w:space="0" w:color="auto"/>
          </w:divBdr>
        </w:div>
        <w:div w:id="1674339701">
          <w:marLeft w:val="1411"/>
          <w:marRight w:val="0"/>
          <w:marTop w:val="67"/>
          <w:marBottom w:val="0"/>
          <w:divBdr>
            <w:top w:val="none" w:sz="0" w:space="0" w:color="auto"/>
            <w:left w:val="none" w:sz="0" w:space="0" w:color="auto"/>
            <w:bottom w:val="none" w:sz="0" w:space="0" w:color="auto"/>
            <w:right w:val="none" w:sz="0" w:space="0" w:color="auto"/>
          </w:divBdr>
        </w:div>
        <w:div w:id="1731659359">
          <w:marLeft w:val="1411"/>
          <w:marRight w:val="0"/>
          <w:marTop w:val="67"/>
          <w:marBottom w:val="0"/>
          <w:divBdr>
            <w:top w:val="none" w:sz="0" w:space="0" w:color="auto"/>
            <w:left w:val="none" w:sz="0" w:space="0" w:color="auto"/>
            <w:bottom w:val="none" w:sz="0" w:space="0" w:color="auto"/>
            <w:right w:val="none" w:sz="0" w:space="0" w:color="auto"/>
          </w:divBdr>
        </w:div>
        <w:div w:id="2134135968">
          <w:marLeft w:val="1411"/>
          <w:marRight w:val="0"/>
          <w:marTop w:val="67"/>
          <w:marBottom w:val="0"/>
          <w:divBdr>
            <w:top w:val="none" w:sz="0" w:space="0" w:color="auto"/>
            <w:left w:val="none" w:sz="0" w:space="0" w:color="auto"/>
            <w:bottom w:val="none" w:sz="0" w:space="0" w:color="auto"/>
            <w:right w:val="none" w:sz="0" w:space="0" w:color="auto"/>
          </w:divBdr>
        </w:div>
      </w:divsChild>
    </w:div>
    <w:div w:id="1169446871">
      <w:bodyDiv w:val="1"/>
      <w:marLeft w:val="0"/>
      <w:marRight w:val="0"/>
      <w:marTop w:val="0"/>
      <w:marBottom w:val="0"/>
      <w:divBdr>
        <w:top w:val="none" w:sz="0" w:space="0" w:color="auto"/>
        <w:left w:val="none" w:sz="0" w:space="0" w:color="auto"/>
        <w:bottom w:val="none" w:sz="0" w:space="0" w:color="auto"/>
        <w:right w:val="none" w:sz="0" w:space="0" w:color="auto"/>
      </w:divBdr>
    </w:div>
    <w:div w:id="1194078899">
      <w:bodyDiv w:val="1"/>
      <w:marLeft w:val="0"/>
      <w:marRight w:val="0"/>
      <w:marTop w:val="0"/>
      <w:marBottom w:val="0"/>
      <w:divBdr>
        <w:top w:val="none" w:sz="0" w:space="0" w:color="auto"/>
        <w:left w:val="none" w:sz="0" w:space="0" w:color="auto"/>
        <w:bottom w:val="none" w:sz="0" w:space="0" w:color="auto"/>
        <w:right w:val="none" w:sz="0" w:space="0" w:color="auto"/>
      </w:divBdr>
      <w:divsChild>
        <w:div w:id="52971863">
          <w:marLeft w:val="274"/>
          <w:marRight w:val="0"/>
          <w:marTop w:val="86"/>
          <w:marBottom w:val="0"/>
          <w:divBdr>
            <w:top w:val="none" w:sz="0" w:space="0" w:color="auto"/>
            <w:left w:val="none" w:sz="0" w:space="0" w:color="auto"/>
            <w:bottom w:val="none" w:sz="0" w:space="0" w:color="auto"/>
            <w:right w:val="none" w:sz="0" w:space="0" w:color="auto"/>
          </w:divBdr>
        </w:div>
        <w:div w:id="60835020">
          <w:marLeft w:val="835"/>
          <w:marRight w:val="0"/>
          <w:marTop w:val="77"/>
          <w:marBottom w:val="0"/>
          <w:divBdr>
            <w:top w:val="none" w:sz="0" w:space="0" w:color="auto"/>
            <w:left w:val="none" w:sz="0" w:space="0" w:color="auto"/>
            <w:bottom w:val="none" w:sz="0" w:space="0" w:color="auto"/>
            <w:right w:val="none" w:sz="0" w:space="0" w:color="auto"/>
          </w:divBdr>
        </w:div>
        <w:div w:id="371425101">
          <w:marLeft w:val="274"/>
          <w:marRight w:val="0"/>
          <w:marTop w:val="86"/>
          <w:marBottom w:val="0"/>
          <w:divBdr>
            <w:top w:val="none" w:sz="0" w:space="0" w:color="auto"/>
            <w:left w:val="none" w:sz="0" w:space="0" w:color="auto"/>
            <w:bottom w:val="none" w:sz="0" w:space="0" w:color="auto"/>
            <w:right w:val="none" w:sz="0" w:space="0" w:color="auto"/>
          </w:divBdr>
        </w:div>
        <w:div w:id="688261048">
          <w:marLeft w:val="835"/>
          <w:marRight w:val="0"/>
          <w:marTop w:val="67"/>
          <w:marBottom w:val="0"/>
          <w:divBdr>
            <w:top w:val="none" w:sz="0" w:space="0" w:color="auto"/>
            <w:left w:val="none" w:sz="0" w:space="0" w:color="auto"/>
            <w:bottom w:val="none" w:sz="0" w:space="0" w:color="auto"/>
            <w:right w:val="none" w:sz="0" w:space="0" w:color="auto"/>
          </w:divBdr>
        </w:div>
        <w:div w:id="695888622">
          <w:marLeft w:val="274"/>
          <w:marRight w:val="0"/>
          <w:marTop w:val="86"/>
          <w:marBottom w:val="0"/>
          <w:divBdr>
            <w:top w:val="none" w:sz="0" w:space="0" w:color="auto"/>
            <w:left w:val="none" w:sz="0" w:space="0" w:color="auto"/>
            <w:bottom w:val="none" w:sz="0" w:space="0" w:color="auto"/>
            <w:right w:val="none" w:sz="0" w:space="0" w:color="auto"/>
          </w:divBdr>
        </w:div>
        <w:div w:id="699092289">
          <w:marLeft w:val="835"/>
          <w:marRight w:val="0"/>
          <w:marTop w:val="77"/>
          <w:marBottom w:val="0"/>
          <w:divBdr>
            <w:top w:val="none" w:sz="0" w:space="0" w:color="auto"/>
            <w:left w:val="none" w:sz="0" w:space="0" w:color="auto"/>
            <w:bottom w:val="none" w:sz="0" w:space="0" w:color="auto"/>
            <w:right w:val="none" w:sz="0" w:space="0" w:color="auto"/>
          </w:divBdr>
        </w:div>
        <w:div w:id="953024672">
          <w:marLeft w:val="274"/>
          <w:marRight w:val="0"/>
          <w:marTop w:val="86"/>
          <w:marBottom w:val="0"/>
          <w:divBdr>
            <w:top w:val="none" w:sz="0" w:space="0" w:color="auto"/>
            <w:left w:val="none" w:sz="0" w:space="0" w:color="auto"/>
            <w:bottom w:val="none" w:sz="0" w:space="0" w:color="auto"/>
            <w:right w:val="none" w:sz="0" w:space="0" w:color="auto"/>
          </w:divBdr>
        </w:div>
        <w:div w:id="1466238299">
          <w:marLeft w:val="835"/>
          <w:marRight w:val="0"/>
          <w:marTop w:val="77"/>
          <w:marBottom w:val="0"/>
          <w:divBdr>
            <w:top w:val="none" w:sz="0" w:space="0" w:color="auto"/>
            <w:left w:val="none" w:sz="0" w:space="0" w:color="auto"/>
            <w:bottom w:val="none" w:sz="0" w:space="0" w:color="auto"/>
            <w:right w:val="none" w:sz="0" w:space="0" w:color="auto"/>
          </w:divBdr>
        </w:div>
        <w:div w:id="1766459941">
          <w:marLeft w:val="1411"/>
          <w:marRight w:val="0"/>
          <w:marTop w:val="77"/>
          <w:marBottom w:val="0"/>
          <w:divBdr>
            <w:top w:val="none" w:sz="0" w:space="0" w:color="auto"/>
            <w:left w:val="none" w:sz="0" w:space="0" w:color="auto"/>
            <w:bottom w:val="none" w:sz="0" w:space="0" w:color="auto"/>
            <w:right w:val="none" w:sz="0" w:space="0" w:color="auto"/>
          </w:divBdr>
        </w:div>
      </w:divsChild>
    </w:div>
    <w:div w:id="1510287557">
      <w:bodyDiv w:val="1"/>
      <w:marLeft w:val="0"/>
      <w:marRight w:val="0"/>
      <w:marTop w:val="0"/>
      <w:marBottom w:val="0"/>
      <w:divBdr>
        <w:top w:val="none" w:sz="0" w:space="0" w:color="auto"/>
        <w:left w:val="none" w:sz="0" w:space="0" w:color="auto"/>
        <w:bottom w:val="none" w:sz="0" w:space="0" w:color="auto"/>
        <w:right w:val="none" w:sz="0" w:space="0" w:color="auto"/>
      </w:divBdr>
      <w:divsChild>
        <w:div w:id="194195173">
          <w:marLeft w:val="835"/>
          <w:marRight w:val="0"/>
          <w:marTop w:val="77"/>
          <w:marBottom w:val="0"/>
          <w:divBdr>
            <w:top w:val="none" w:sz="0" w:space="0" w:color="auto"/>
            <w:left w:val="none" w:sz="0" w:space="0" w:color="auto"/>
            <w:bottom w:val="none" w:sz="0" w:space="0" w:color="auto"/>
            <w:right w:val="none" w:sz="0" w:space="0" w:color="auto"/>
          </w:divBdr>
        </w:div>
        <w:div w:id="624120591">
          <w:marLeft w:val="835"/>
          <w:marRight w:val="0"/>
          <w:marTop w:val="77"/>
          <w:marBottom w:val="0"/>
          <w:divBdr>
            <w:top w:val="none" w:sz="0" w:space="0" w:color="auto"/>
            <w:left w:val="none" w:sz="0" w:space="0" w:color="auto"/>
            <w:bottom w:val="none" w:sz="0" w:space="0" w:color="auto"/>
            <w:right w:val="none" w:sz="0" w:space="0" w:color="auto"/>
          </w:divBdr>
        </w:div>
        <w:div w:id="632641167">
          <w:marLeft w:val="835"/>
          <w:marRight w:val="0"/>
          <w:marTop w:val="77"/>
          <w:marBottom w:val="0"/>
          <w:divBdr>
            <w:top w:val="none" w:sz="0" w:space="0" w:color="auto"/>
            <w:left w:val="none" w:sz="0" w:space="0" w:color="auto"/>
            <w:bottom w:val="none" w:sz="0" w:space="0" w:color="auto"/>
            <w:right w:val="none" w:sz="0" w:space="0" w:color="auto"/>
          </w:divBdr>
        </w:div>
        <w:div w:id="745490493">
          <w:marLeft w:val="835"/>
          <w:marRight w:val="0"/>
          <w:marTop w:val="77"/>
          <w:marBottom w:val="0"/>
          <w:divBdr>
            <w:top w:val="none" w:sz="0" w:space="0" w:color="auto"/>
            <w:left w:val="none" w:sz="0" w:space="0" w:color="auto"/>
            <w:bottom w:val="none" w:sz="0" w:space="0" w:color="auto"/>
            <w:right w:val="none" w:sz="0" w:space="0" w:color="auto"/>
          </w:divBdr>
        </w:div>
        <w:div w:id="820462452">
          <w:marLeft w:val="274"/>
          <w:marRight w:val="0"/>
          <w:marTop w:val="96"/>
          <w:marBottom w:val="0"/>
          <w:divBdr>
            <w:top w:val="none" w:sz="0" w:space="0" w:color="auto"/>
            <w:left w:val="none" w:sz="0" w:space="0" w:color="auto"/>
            <w:bottom w:val="none" w:sz="0" w:space="0" w:color="auto"/>
            <w:right w:val="none" w:sz="0" w:space="0" w:color="auto"/>
          </w:divBdr>
        </w:div>
        <w:div w:id="1350255273">
          <w:marLeft w:val="274"/>
          <w:marRight w:val="0"/>
          <w:marTop w:val="96"/>
          <w:marBottom w:val="0"/>
          <w:divBdr>
            <w:top w:val="none" w:sz="0" w:space="0" w:color="auto"/>
            <w:left w:val="none" w:sz="0" w:space="0" w:color="auto"/>
            <w:bottom w:val="none" w:sz="0" w:space="0" w:color="auto"/>
            <w:right w:val="none" w:sz="0" w:space="0" w:color="auto"/>
          </w:divBdr>
        </w:div>
        <w:div w:id="1467163389">
          <w:marLeft w:val="835"/>
          <w:marRight w:val="0"/>
          <w:marTop w:val="77"/>
          <w:marBottom w:val="0"/>
          <w:divBdr>
            <w:top w:val="none" w:sz="0" w:space="0" w:color="auto"/>
            <w:left w:val="none" w:sz="0" w:space="0" w:color="auto"/>
            <w:bottom w:val="none" w:sz="0" w:space="0" w:color="auto"/>
            <w:right w:val="none" w:sz="0" w:space="0" w:color="auto"/>
          </w:divBdr>
        </w:div>
        <w:div w:id="2141920872">
          <w:marLeft w:val="274"/>
          <w:marRight w:val="0"/>
          <w:marTop w:val="96"/>
          <w:marBottom w:val="0"/>
          <w:divBdr>
            <w:top w:val="none" w:sz="0" w:space="0" w:color="auto"/>
            <w:left w:val="none" w:sz="0" w:space="0" w:color="auto"/>
            <w:bottom w:val="none" w:sz="0" w:space="0" w:color="auto"/>
            <w:right w:val="none" w:sz="0" w:space="0" w:color="auto"/>
          </w:divBdr>
        </w:div>
      </w:divsChild>
    </w:div>
    <w:div w:id="1654986521">
      <w:bodyDiv w:val="1"/>
      <w:marLeft w:val="0"/>
      <w:marRight w:val="0"/>
      <w:marTop w:val="0"/>
      <w:marBottom w:val="0"/>
      <w:divBdr>
        <w:top w:val="none" w:sz="0" w:space="0" w:color="auto"/>
        <w:left w:val="none" w:sz="0" w:space="0" w:color="auto"/>
        <w:bottom w:val="none" w:sz="0" w:space="0" w:color="auto"/>
        <w:right w:val="none" w:sz="0" w:space="0" w:color="auto"/>
      </w:divBdr>
      <w:divsChild>
        <w:div w:id="453210924">
          <w:marLeft w:val="274"/>
          <w:marRight w:val="0"/>
          <w:marTop w:val="77"/>
          <w:marBottom w:val="0"/>
          <w:divBdr>
            <w:top w:val="none" w:sz="0" w:space="0" w:color="auto"/>
            <w:left w:val="none" w:sz="0" w:space="0" w:color="auto"/>
            <w:bottom w:val="none" w:sz="0" w:space="0" w:color="auto"/>
            <w:right w:val="none" w:sz="0" w:space="0" w:color="auto"/>
          </w:divBdr>
        </w:div>
        <w:div w:id="543442008">
          <w:marLeft w:val="274"/>
          <w:marRight w:val="0"/>
          <w:marTop w:val="77"/>
          <w:marBottom w:val="0"/>
          <w:divBdr>
            <w:top w:val="none" w:sz="0" w:space="0" w:color="auto"/>
            <w:left w:val="none" w:sz="0" w:space="0" w:color="auto"/>
            <w:bottom w:val="none" w:sz="0" w:space="0" w:color="auto"/>
            <w:right w:val="none" w:sz="0" w:space="0" w:color="auto"/>
          </w:divBdr>
        </w:div>
        <w:div w:id="638219882">
          <w:marLeft w:val="274"/>
          <w:marRight w:val="0"/>
          <w:marTop w:val="77"/>
          <w:marBottom w:val="0"/>
          <w:divBdr>
            <w:top w:val="none" w:sz="0" w:space="0" w:color="auto"/>
            <w:left w:val="none" w:sz="0" w:space="0" w:color="auto"/>
            <w:bottom w:val="none" w:sz="0" w:space="0" w:color="auto"/>
            <w:right w:val="none" w:sz="0" w:space="0" w:color="auto"/>
          </w:divBdr>
        </w:div>
        <w:div w:id="772280857">
          <w:marLeft w:val="274"/>
          <w:marRight w:val="0"/>
          <w:marTop w:val="77"/>
          <w:marBottom w:val="0"/>
          <w:divBdr>
            <w:top w:val="none" w:sz="0" w:space="0" w:color="auto"/>
            <w:left w:val="none" w:sz="0" w:space="0" w:color="auto"/>
            <w:bottom w:val="none" w:sz="0" w:space="0" w:color="auto"/>
            <w:right w:val="none" w:sz="0" w:space="0" w:color="auto"/>
          </w:divBdr>
        </w:div>
        <w:div w:id="1864594220">
          <w:marLeft w:val="274"/>
          <w:marRight w:val="0"/>
          <w:marTop w:val="77"/>
          <w:marBottom w:val="0"/>
          <w:divBdr>
            <w:top w:val="none" w:sz="0" w:space="0" w:color="auto"/>
            <w:left w:val="none" w:sz="0" w:space="0" w:color="auto"/>
            <w:bottom w:val="none" w:sz="0" w:space="0" w:color="auto"/>
            <w:right w:val="none" w:sz="0" w:space="0" w:color="auto"/>
          </w:divBdr>
        </w:div>
        <w:div w:id="1918125684">
          <w:marLeft w:val="274"/>
          <w:marRight w:val="0"/>
          <w:marTop w:val="77"/>
          <w:marBottom w:val="0"/>
          <w:divBdr>
            <w:top w:val="none" w:sz="0" w:space="0" w:color="auto"/>
            <w:left w:val="none" w:sz="0" w:space="0" w:color="auto"/>
            <w:bottom w:val="none" w:sz="0" w:space="0" w:color="auto"/>
            <w:right w:val="none" w:sz="0" w:space="0" w:color="auto"/>
          </w:divBdr>
        </w:div>
      </w:divsChild>
    </w:div>
    <w:div w:id="1725790101">
      <w:bodyDiv w:val="1"/>
      <w:marLeft w:val="0"/>
      <w:marRight w:val="0"/>
      <w:marTop w:val="0"/>
      <w:marBottom w:val="0"/>
      <w:divBdr>
        <w:top w:val="none" w:sz="0" w:space="0" w:color="auto"/>
        <w:left w:val="none" w:sz="0" w:space="0" w:color="auto"/>
        <w:bottom w:val="none" w:sz="0" w:space="0" w:color="auto"/>
        <w:right w:val="none" w:sz="0" w:space="0" w:color="auto"/>
      </w:divBdr>
      <w:divsChild>
        <w:div w:id="4947139">
          <w:marLeft w:val="274"/>
          <w:marRight w:val="0"/>
          <w:marTop w:val="77"/>
          <w:marBottom w:val="0"/>
          <w:divBdr>
            <w:top w:val="none" w:sz="0" w:space="0" w:color="auto"/>
            <w:left w:val="none" w:sz="0" w:space="0" w:color="auto"/>
            <w:bottom w:val="none" w:sz="0" w:space="0" w:color="auto"/>
            <w:right w:val="none" w:sz="0" w:space="0" w:color="auto"/>
          </w:divBdr>
        </w:div>
      </w:divsChild>
    </w:div>
    <w:div w:id="2018848269">
      <w:bodyDiv w:val="1"/>
      <w:marLeft w:val="0"/>
      <w:marRight w:val="0"/>
      <w:marTop w:val="0"/>
      <w:marBottom w:val="0"/>
      <w:divBdr>
        <w:top w:val="none" w:sz="0" w:space="0" w:color="auto"/>
        <w:left w:val="none" w:sz="0" w:space="0" w:color="auto"/>
        <w:bottom w:val="none" w:sz="0" w:space="0" w:color="auto"/>
        <w:right w:val="none" w:sz="0" w:space="0" w:color="auto"/>
      </w:divBdr>
      <w:divsChild>
        <w:div w:id="630287804">
          <w:marLeft w:val="835"/>
          <w:marRight w:val="0"/>
          <w:marTop w:val="67"/>
          <w:marBottom w:val="0"/>
          <w:divBdr>
            <w:top w:val="none" w:sz="0" w:space="0" w:color="auto"/>
            <w:left w:val="none" w:sz="0" w:space="0" w:color="auto"/>
            <w:bottom w:val="none" w:sz="0" w:space="0" w:color="auto"/>
            <w:right w:val="none" w:sz="0" w:space="0" w:color="auto"/>
          </w:divBdr>
        </w:div>
        <w:div w:id="1417745595">
          <w:marLeft w:val="835"/>
          <w:marRight w:val="0"/>
          <w:marTop w:val="67"/>
          <w:marBottom w:val="0"/>
          <w:divBdr>
            <w:top w:val="none" w:sz="0" w:space="0" w:color="auto"/>
            <w:left w:val="none" w:sz="0" w:space="0" w:color="auto"/>
            <w:bottom w:val="none" w:sz="0" w:space="0" w:color="auto"/>
            <w:right w:val="none" w:sz="0" w:space="0" w:color="auto"/>
          </w:divBdr>
        </w:div>
        <w:div w:id="2054692641">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65A1F-5AC2-48CA-8E71-C38CED29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2091</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2017-05-06T18:53:00Z</dcterms:created>
  <dcterms:modified xsi:type="dcterms:W3CDTF">2017-05-06T18:53:00Z</dcterms:modified>
</cp:coreProperties>
</file>